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6BB2" w14:textId="49BA0C3B" w:rsidR="00D949A4" w:rsidRPr="00D949A4" w:rsidRDefault="00D949A4" w:rsidP="000D1F71">
      <w:pPr>
        <w:spacing w:after="0" w:line="276" w:lineRule="auto"/>
        <w:jc w:val="both"/>
        <w:rPr>
          <w:b/>
          <w:bCs/>
        </w:rPr>
      </w:pPr>
      <w:r w:rsidRPr="00D949A4">
        <w:rPr>
          <w:b/>
          <w:bCs/>
        </w:rPr>
        <w:t xml:space="preserve">Reference </w:t>
      </w:r>
      <w:r>
        <w:rPr>
          <w:b/>
          <w:bCs/>
        </w:rPr>
        <w:t>d</w:t>
      </w:r>
      <w:r w:rsidRPr="00D949A4">
        <w:rPr>
          <w:b/>
          <w:bCs/>
        </w:rPr>
        <w:t>ataset</w:t>
      </w:r>
      <w:r>
        <w:rPr>
          <w:b/>
          <w:bCs/>
        </w:rPr>
        <w:t>s</w:t>
      </w:r>
      <w:r w:rsidRPr="00D949A4">
        <w:rPr>
          <w:b/>
          <w:bCs/>
        </w:rPr>
        <w:t xml:space="preserve"> </w:t>
      </w:r>
      <w:r>
        <w:rPr>
          <w:b/>
          <w:bCs/>
        </w:rPr>
        <w:t>s</w:t>
      </w:r>
      <w:r w:rsidRPr="00D949A4">
        <w:rPr>
          <w:b/>
          <w:bCs/>
        </w:rPr>
        <w:t>election for ADT-</w:t>
      </w:r>
      <w:r>
        <w:rPr>
          <w:b/>
          <w:bCs/>
        </w:rPr>
        <w:t>b</w:t>
      </w:r>
      <w:r w:rsidRPr="00D949A4">
        <w:rPr>
          <w:b/>
          <w:bCs/>
        </w:rPr>
        <w:t xml:space="preserve">ased </w:t>
      </w:r>
      <w:r>
        <w:rPr>
          <w:b/>
          <w:bCs/>
        </w:rPr>
        <w:t>a</w:t>
      </w:r>
      <w:r w:rsidRPr="00D949A4">
        <w:rPr>
          <w:b/>
          <w:bCs/>
        </w:rPr>
        <w:t>nnotation</w:t>
      </w:r>
    </w:p>
    <w:p w14:paraId="35888F95" w14:textId="77777777" w:rsidR="00D949A4" w:rsidRDefault="00D949A4" w:rsidP="000D1F71">
      <w:pPr>
        <w:spacing w:after="0" w:line="276" w:lineRule="auto"/>
        <w:jc w:val="both"/>
      </w:pPr>
    </w:p>
    <w:p w14:paraId="17EC3D45" w14:textId="1AA66496" w:rsidR="00D949A4" w:rsidRDefault="00D949A4" w:rsidP="00D949A4">
      <w:pPr>
        <w:jc w:val="both"/>
      </w:pPr>
      <w:r>
        <w:t xml:space="preserve">To develop a pipeline for automated annotation of </w:t>
      </w:r>
      <w:proofErr w:type="spellStart"/>
      <w:r>
        <w:t>MissionBio</w:t>
      </w:r>
      <w:proofErr w:type="spellEnd"/>
      <w:r>
        <w:t xml:space="preserve"> </w:t>
      </w:r>
      <w:proofErr w:type="spellStart"/>
      <w:r>
        <w:t>Tapestri</w:t>
      </w:r>
      <w:proofErr w:type="spellEnd"/>
      <w:r>
        <w:t xml:space="preserve"> protein (antibody-derived tag, ADT) data from peripheral blood/bone marrow mononuclear cells (PB/BM-MNCs), we first interrogated the literature to identify suitable reference datasets for supervised machine learning. Inclusion criteria were: (</w:t>
      </w:r>
      <w:proofErr w:type="spellStart"/>
      <w:r>
        <w:t>i</w:t>
      </w:r>
      <w:proofErr w:type="spellEnd"/>
      <w:r>
        <w:t xml:space="preserve">) presence of multiple, pre-annotated cell types; (ii) availability of ADT markers with at least partial overlap to the </w:t>
      </w:r>
      <w:proofErr w:type="spellStart"/>
      <w:r>
        <w:t>TotalSeq</w:t>
      </w:r>
      <w:proofErr w:type="spellEnd"/>
      <w:r>
        <w:t>-D panel; and (iii) derivation from healthy donors or controls with no haematological malignancy. Despite the growing use of ADT multiplexing, only four datasets met these criteria, all generated using CITE-</w:t>
      </w:r>
      <w:proofErr w:type="spellStart"/>
      <w:r>
        <w:t>seq</w:t>
      </w:r>
      <w:proofErr w:type="spellEnd"/>
      <w:r>
        <w:t xml:space="preserve">: three from BM-MNCs (Triana et al., 2021; </w:t>
      </w:r>
      <w:proofErr w:type="spellStart"/>
      <w:r>
        <w:t>Luecken</w:t>
      </w:r>
      <w:proofErr w:type="spellEnd"/>
      <w:r>
        <w:t xml:space="preserve"> et al., 2021; Zhang et al., 2024) and one from PB-MNCs (Hao et al., 2021). None contained all </w:t>
      </w:r>
      <w:r>
        <w:t xml:space="preserve">known </w:t>
      </w:r>
      <w:r>
        <w:t xml:space="preserve">mononuclear cell types, with some enriched for primitive haematopoietic stem and progenitor cells (HSPCs) (Zhang, Triana) and others for mature lineages (Hao, </w:t>
      </w:r>
      <w:proofErr w:type="spellStart"/>
      <w:r>
        <w:t>Luecken</w:t>
      </w:r>
      <w:proofErr w:type="spellEnd"/>
      <w:r>
        <w:t xml:space="preserve">). </w:t>
      </w:r>
      <w:r>
        <w:t xml:space="preserve">Some cell types such as </w:t>
      </w:r>
      <w:r>
        <w:t>HSPCs</w:t>
      </w:r>
      <w:r>
        <w:t xml:space="preserve"> were included in all</w:t>
      </w:r>
      <w:r>
        <w:t xml:space="preserve">, </w:t>
      </w:r>
      <w:r>
        <w:t>although</w:t>
      </w:r>
      <w:r>
        <w:t xml:space="preserve"> at variable frequencies. Annotation depth also differed</w:t>
      </w:r>
      <w:r>
        <w:t xml:space="preserve">, </w:t>
      </w:r>
      <w:r>
        <w:t>for example, Hao et al. classified all HSPCs as a single group, whereas Triana et al. separated them into distinct haematopoietic stem cell (HSC) and progenitor populations [Fig. S1].</w:t>
      </w:r>
    </w:p>
    <w:p w14:paraId="5CF73F61" w14:textId="77777777" w:rsidR="00D949A4" w:rsidRDefault="00D949A4" w:rsidP="00D949A4">
      <w:pPr>
        <w:jc w:val="both"/>
      </w:pPr>
    </w:p>
    <w:p w14:paraId="71DA84A6" w14:textId="01BD875A" w:rsidR="000146AB" w:rsidRDefault="00D949A4" w:rsidP="000D1F71">
      <w:pPr>
        <w:jc w:val="both"/>
      </w:pPr>
      <w:r>
        <w:t>Dataset differences extended to ADT features, largely reflecting the chemistry and antibody panels used (</w:t>
      </w:r>
      <w:proofErr w:type="spellStart"/>
      <w:r>
        <w:t>TotalSeq</w:t>
      </w:r>
      <w:proofErr w:type="spellEnd"/>
      <w:r>
        <w:t xml:space="preserve">-A/B and BD </w:t>
      </w:r>
      <w:proofErr w:type="spellStart"/>
      <w:r>
        <w:t>AbSeq</w:t>
      </w:r>
      <w:proofErr w:type="spellEnd"/>
      <w:r>
        <w:t xml:space="preserve">) [Table S1]. Intersection with the </w:t>
      </w:r>
      <w:proofErr w:type="spellStart"/>
      <w:r>
        <w:t>Tapestri</w:t>
      </w:r>
      <w:proofErr w:type="spellEnd"/>
      <w:r>
        <w:t xml:space="preserve"> </w:t>
      </w:r>
      <w:proofErr w:type="spellStart"/>
      <w:r>
        <w:t>TotalSeq</w:t>
      </w:r>
      <w:proofErr w:type="spellEnd"/>
      <w:r>
        <w:t xml:space="preserve">-D panel showed the highest overlap for </w:t>
      </w:r>
      <w:proofErr w:type="spellStart"/>
      <w:r>
        <w:t>Luecken</w:t>
      </w:r>
      <w:proofErr w:type="spellEnd"/>
      <w:r>
        <w:t xml:space="preserve"> and Zhang (34/42 markers, 81% each), followed by Triana (31/42, 74%) and Hao (27/42, 64%) [Fig. 1A-i]. Harmonising marker labels improved overlap for Hao to 35/42 (83%) [Fig. 1A-ii]. When tested individually, none of the four datasets provided complete or accurate annotation of </w:t>
      </w:r>
      <w:proofErr w:type="spellStart"/>
      <w:r>
        <w:t>Tapestri</w:t>
      </w:r>
      <w:proofErr w:type="spellEnd"/>
      <w:r>
        <w:t xml:space="preserve"> data, due to differences in cellular composition and incomplete/variable panel overlap. These findings underscored the need for a harmonised, multi-reference approach to achieve robust annotation.</w:t>
      </w:r>
    </w:p>
    <w:p w14:paraId="50799F05" w14:textId="77777777" w:rsidR="00D949A4" w:rsidRDefault="00D949A4" w:rsidP="000D1F71">
      <w:pPr>
        <w:jc w:val="both"/>
      </w:pPr>
    </w:p>
    <w:p w14:paraId="5A00BC02" w14:textId="77777777" w:rsidR="000D1F71" w:rsidRPr="000D1F71" w:rsidRDefault="000D1F71" w:rsidP="000D1F71">
      <w:pPr>
        <w:rPr>
          <w:b/>
          <w:bCs/>
        </w:rPr>
      </w:pPr>
      <w:r w:rsidRPr="000D1F71">
        <w:rPr>
          <w:b/>
          <w:bCs/>
        </w:rPr>
        <w:t>Design of a multiapproach</w:t>
      </w:r>
    </w:p>
    <w:p w14:paraId="0DB06395" w14:textId="42044BCC" w:rsidR="00055695" w:rsidRDefault="00665190" w:rsidP="00055695">
      <w:pPr>
        <w:jc w:val="both"/>
      </w:pPr>
      <w:r>
        <w:t xml:space="preserve">To address incomplete feature overlap between reference datasets, we developed a systematic, multi-stage annotation framework that integrates all available references. In the first stage, cell type labels were deconvoluted and harmonised across datasets according to established cell ontologies (Chen et al., 2009; </w:t>
      </w:r>
      <w:proofErr w:type="spellStart"/>
      <w:r>
        <w:t>Golubovskaya</w:t>
      </w:r>
      <w:proofErr w:type="spellEnd"/>
      <w:r>
        <w:t xml:space="preserve"> and Wu, 2016; Collin and Bigley, 2018; Sanz et al., 2019), generating three shared annotation profiles of increasing resolution [Fig. 1B]. In the second stage, for each reference dataset </w:t>
      </w:r>
      <w:r w:rsidR="00D949A4">
        <w:t xml:space="preserve">raw count </w:t>
      </w:r>
      <w:r>
        <w:t>data were normalised and used for</w:t>
      </w:r>
      <w:r>
        <w:t xml:space="preserve"> train</w:t>
      </w:r>
      <w:r>
        <w:t>ing of</w:t>
      </w:r>
      <w:r>
        <w:t xml:space="preserve"> four distinct supervised classifiers</w:t>
      </w:r>
      <w:r>
        <w:t xml:space="preserve"> (</w:t>
      </w:r>
      <w:r>
        <w:t xml:space="preserve">Naïve Bayes </w:t>
      </w:r>
      <w:r>
        <w:t xml:space="preserve">- </w:t>
      </w:r>
      <w:r>
        <w:t xml:space="preserve">NB, Extreme Gradient Boosting </w:t>
      </w:r>
      <w:r>
        <w:t xml:space="preserve">- </w:t>
      </w:r>
      <w:r>
        <w:t>XGB, k-Nearest Neighbours</w:t>
      </w:r>
      <w:r>
        <w:t xml:space="preserve"> - </w:t>
      </w:r>
      <w:r>
        <w:t xml:space="preserve">KNN, and Multi-Layer Perceptron </w:t>
      </w:r>
      <w:r>
        <w:t xml:space="preserve">- </w:t>
      </w:r>
      <w:r>
        <w:t>MLP</w:t>
      </w:r>
      <w:r>
        <w:t xml:space="preserve">) </w:t>
      </w:r>
      <w:r>
        <w:t xml:space="preserve">and their output probabilities </w:t>
      </w:r>
      <w:r w:rsidR="00D949A4">
        <w:t xml:space="preserve">combined </w:t>
      </w:r>
      <w:r>
        <w:t xml:space="preserve">in a stacked ensemble </w:t>
      </w:r>
      <w:r w:rsidR="00D949A4">
        <w:lastRenderedPageBreak/>
        <w:t>via</w:t>
      </w:r>
      <w:r>
        <w:t xml:space="preserve"> logistic regression. Annotation within each ensemble followed a hierarchical decomposition, beginning with broad lineage separation (</w:t>
      </w:r>
      <w:r w:rsidR="00A72D48">
        <w:t>two labels: immature vs mature</w:t>
      </w:r>
      <w:r>
        <w:t xml:space="preserve">), followed </w:t>
      </w:r>
      <w:r w:rsidR="00CE1334">
        <w:t xml:space="preserve">a </w:t>
      </w:r>
      <w:r>
        <w:t>finer classification within each branch (</w:t>
      </w:r>
      <w:r w:rsidR="00CE1334">
        <w:t xml:space="preserve">14 labels: </w:t>
      </w:r>
      <w:r>
        <w:t>HSC/MPP vs. progenitors, or resolution of mature lineages)</w:t>
      </w:r>
      <w:r w:rsidR="00CE1334">
        <w:t xml:space="preserve">, and a further increasingly detailed </w:t>
      </w:r>
      <w:proofErr w:type="spellStart"/>
      <w:r w:rsidR="00CE1334">
        <w:t>subclassifcation</w:t>
      </w:r>
      <w:proofErr w:type="spellEnd"/>
      <w:r w:rsidR="00CE1334">
        <w:t xml:space="preserve"> (35 labels) [Fig S3]</w:t>
      </w:r>
      <w:r>
        <w:t>. In the third stage, each reference-specific ensemble was applied to query datasets, and prediction scores were aggregated across references</w:t>
      </w:r>
      <w:r w:rsidR="00055695">
        <w:t xml:space="preserve"> [Fig. 2A]</w:t>
      </w:r>
      <w:r>
        <w:t xml:space="preserve">. Predictions were constrained by established </w:t>
      </w:r>
      <w:r w:rsidR="00804691">
        <w:t xml:space="preserve">parental </w:t>
      </w:r>
      <w:r>
        <w:t xml:space="preserve">ontologies to enforce biologically consistent assignments </w:t>
      </w:r>
      <w:r w:rsidR="00055695">
        <w:t xml:space="preserve">(e.g., HSC_MPP subtypes assigned only within the broader HSPC category) [Fig. 2B]. </w:t>
      </w:r>
      <w:r w:rsidR="00804691">
        <w:t xml:space="preserve">Labels corresponding to top scoring predictions in each depth of annotation were applied as annotation. </w:t>
      </w:r>
      <w:r w:rsidR="00055695">
        <w:t>Additional refinements included reassignment of cells with low silhouette scores and targeted annotation of rare or under-represented types (e.g., mast cells) using curated marker combinations. This resulted in a fully automated, ontology-guided annotation hierarchy [Fig. 2C].</w:t>
      </w:r>
    </w:p>
    <w:p w14:paraId="70933700" w14:textId="42E8FE4E" w:rsidR="00D949A4" w:rsidRDefault="00055695" w:rsidP="00055695">
      <w:pPr>
        <w:jc w:val="both"/>
      </w:pPr>
      <w:r>
        <w:t>This multi-reference, ontology-constrained ensemble framework enables robust and biologically interpretable annotation of query datasets, requires minimal prior sample-specific knowledge, and can be readily implemented as a downloadable pipeline within the Mosaic analysis environment.</w:t>
      </w:r>
    </w:p>
    <w:p w14:paraId="64F224F7" w14:textId="77777777" w:rsidR="00055695" w:rsidRDefault="00055695" w:rsidP="00055695">
      <w:pPr>
        <w:jc w:val="both"/>
        <w:rPr>
          <w:b/>
          <w:bCs/>
        </w:rPr>
      </w:pPr>
    </w:p>
    <w:p w14:paraId="58EEBAD8" w14:textId="77777777" w:rsidR="00D949A4" w:rsidRPr="00D949A4" w:rsidRDefault="00D949A4" w:rsidP="00D949A4">
      <w:pPr>
        <w:rPr>
          <w:b/>
          <w:bCs/>
        </w:rPr>
      </w:pPr>
      <w:r w:rsidRPr="00D949A4">
        <w:rPr>
          <w:b/>
          <w:bCs/>
        </w:rPr>
        <w:t>Performance evaluation of the multi-reference framework</w:t>
      </w:r>
    </w:p>
    <w:p w14:paraId="464DB553" w14:textId="77777777" w:rsidR="00A853DE" w:rsidRDefault="00D949A4" w:rsidP="00A853DE">
      <w:pPr>
        <w:jc w:val="both"/>
      </w:pPr>
      <w:r w:rsidRPr="00D949A4">
        <w:t xml:space="preserve">We evaluated the performance of the proposed framework using held-out subsets from each reference dataset as well as independent </w:t>
      </w:r>
      <w:proofErr w:type="spellStart"/>
      <w:r w:rsidRPr="00D949A4">
        <w:t>MissionBio</w:t>
      </w:r>
      <w:proofErr w:type="spellEnd"/>
      <w:r w:rsidRPr="00D949A4">
        <w:t xml:space="preserve"> </w:t>
      </w:r>
      <w:proofErr w:type="spellStart"/>
      <w:r w:rsidRPr="00D949A4">
        <w:t>Tapestri</w:t>
      </w:r>
      <w:proofErr w:type="spellEnd"/>
      <w:r w:rsidRPr="00D949A4">
        <w:t xml:space="preserve"> PB/BM-MNC samples. Compared with single-reference models, the multi-reference ensemble achieved higher overall accuracy and macro-F1 scores across all annotation resolutions, with particularly marked gains for under-represented and rare cell types (e.g. plasmacytoid dendritic cells, mast cells). </w:t>
      </w:r>
    </w:p>
    <w:p w14:paraId="579F34BB" w14:textId="58E0639C" w:rsidR="00BB73F7" w:rsidRPr="00D949A4" w:rsidRDefault="00D949A4" w:rsidP="00A853DE">
      <w:pPr>
        <w:jc w:val="both"/>
      </w:pPr>
      <w:r w:rsidRPr="00D949A4">
        <w:t xml:space="preserve">When benchmarked against </w:t>
      </w:r>
      <w:r w:rsidR="00A853DE">
        <w:t xml:space="preserve">healthy PBMC generated from </w:t>
      </w:r>
      <w:proofErr w:type="spellStart"/>
      <w:r w:rsidR="00A853DE">
        <w:t>MissionBio</w:t>
      </w:r>
      <w:proofErr w:type="spellEnd"/>
      <w:r w:rsidR="00A853DE">
        <w:t xml:space="preserve"> and accessible in the mosaic pipeline,</w:t>
      </w:r>
      <w:r w:rsidRPr="00D949A4">
        <w:t xml:space="preserve"> Seurat label transfer and single-model prediction, our approach maintained superior performance across varying levels of ADT marker overlap and cellular composition. The integration of multiple, harmonised references proved particularly advantageous for samples with incomplete or noisy marker panels, enabling robust annotation even in the absence of a closely matched single reference [Fig. X].</w:t>
      </w:r>
    </w:p>
    <w:p w14:paraId="395CDB8B" w14:textId="77777777" w:rsidR="00D949A4" w:rsidRDefault="00D949A4">
      <w:pPr>
        <w:rPr>
          <w:b/>
          <w:bCs/>
        </w:rPr>
      </w:pPr>
    </w:p>
    <w:p w14:paraId="1D05C07D" w14:textId="77777777" w:rsidR="00A853DE" w:rsidRPr="00A853DE" w:rsidRDefault="00A853DE" w:rsidP="00A853DE">
      <w:pPr>
        <w:rPr>
          <w:b/>
          <w:bCs/>
        </w:rPr>
      </w:pPr>
      <w:r w:rsidRPr="00A853DE">
        <w:rPr>
          <w:b/>
          <w:bCs/>
        </w:rPr>
        <w:t>Discussion</w:t>
      </w:r>
    </w:p>
    <w:p w14:paraId="4600A7AE" w14:textId="77777777" w:rsidR="00B41B38" w:rsidRDefault="00B41B38" w:rsidP="00B41B38">
      <w:pPr>
        <w:jc w:val="both"/>
      </w:pPr>
      <w:r>
        <w:t xml:space="preserve">In this study, we developed an ontology-guided, multi-reference ensemble framework for automated annotation of </w:t>
      </w:r>
      <w:proofErr w:type="spellStart"/>
      <w:r>
        <w:t>MissionBio</w:t>
      </w:r>
      <w:proofErr w:type="spellEnd"/>
      <w:r>
        <w:t xml:space="preserve"> </w:t>
      </w:r>
      <w:proofErr w:type="spellStart"/>
      <w:r>
        <w:t>Tapestri</w:t>
      </w:r>
      <w:proofErr w:type="spellEnd"/>
      <w:r>
        <w:t xml:space="preserve"> protein (ADT) data from peripheral blood and bone marrow mononuclear cells (PB/BM-MNCs). By harmonising cell type labels across four high-quality CITE-</w:t>
      </w:r>
      <w:proofErr w:type="spellStart"/>
      <w:r>
        <w:t>seq</w:t>
      </w:r>
      <w:proofErr w:type="spellEnd"/>
      <w:r>
        <w:t xml:space="preserve"> reference datasets, training hierarchical stacked </w:t>
      </w:r>
      <w:r>
        <w:lastRenderedPageBreak/>
        <w:t>ensembles for each reference, and constraining predictions by established cell ontologies, we achieved robust and biologically consistent annotations despite substantial variability in marker composition and cellular representation across datasets. Benchmarking confirmed that this multi-reference strategy outperforms single-reference and unconstrained models, particularly for rare and under-represented cell types, and maintains performance across a range of feature overlaps and sample compositions.</w:t>
      </w:r>
    </w:p>
    <w:p w14:paraId="4B1D91A9" w14:textId="083B967C" w:rsidR="00B41B38" w:rsidRDefault="00B41B38" w:rsidP="00B41B38">
      <w:pPr>
        <w:jc w:val="both"/>
      </w:pPr>
      <w:r>
        <w:t xml:space="preserve">A key challenge in developing this framework was the limited number of informative ADT features in the current </w:t>
      </w:r>
      <w:proofErr w:type="spellStart"/>
      <w:r>
        <w:t>Tapestri</w:t>
      </w:r>
      <w:proofErr w:type="spellEnd"/>
      <w:r>
        <w:t xml:space="preserve"> antibody cocktails (42 markers), which could in principle restrict annotation granularity. However, by integrating multiple complementary references and applying Gaussian mixture model normalisation, we maximised the utility of these markers and recovered fine-grained cell type assignments. Similarly, variability in antibody clone selection, titration conditions, and detection chemistry across reference datasets was mitigated through systematic label harmonisation, ontology constraints, and multi-reference aggregation, reducing the impact of dataset-specific biases on final predictions. While the framework was trained on healthy donor-derived references, its design is readily extendable to incorporate well-annotated malignant or perturbed datasets, which could further enhance its applicability in clinical and translational contexts.</w:t>
      </w:r>
    </w:p>
    <w:p w14:paraId="20505CB0" w14:textId="7108DAAD" w:rsidR="00B41B38" w:rsidRDefault="00B41B38" w:rsidP="00B41B38">
      <w:pPr>
        <w:jc w:val="both"/>
      </w:pPr>
      <w:r>
        <w:t xml:space="preserve">To facilitate adoption, the framework is available as a downloadable, ready-to-use Python module that can be seamlessly integrated into the </w:t>
      </w:r>
      <w:proofErr w:type="spellStart"/>
      <w:r>
        <w:t>MissionBio</w:t>
      </w:r>
      <w:proofErr w:type="spellEnd"/>
      <w:r>
        <w:t xml:space="preserve"> Mosaic analysis environment. This accessibility ensures that researchers can implement the method with minimal computational overhead, enabling reproducible, high-confidence annotation of </w:t>
      </w:r>
      <w:proofErr w:type="spellStart"/>
      <w:r>
        <w:t>Tapestri</w:t>
      </w:r>
      <w:proofErr w:type="spellEnd"/>
      <w:r>
        <w:t xml:space="preserve"> protein data. Beyond </w:t>
      </w:r>
      <w:proofErr w:type="spellStart"/>
      <w:r>
        <w:t>Tapestri</w:t>
      </w:r>
      <w:proofErr w:type="spellEnd"/>
      <w:r>
        <w:t xml:space="preserve">, the approach can also be applied to </w:t>
      </w:r>
      <w:proofErr w:type="spellStart"/>
      <w:r>
        <w:t>AnnData</w:t>
      </w:r>
      <w:proofErr w:type="spellEnd"/>
      <w:r>
        <w:t>-format files derived from other ADT-based or multimodal platforms, with model training readily adaptable to antibody cocktails of different sizes provided feature harmonisation is performed.</w:t>
      </w:r>
    </w:p>
    <w:p w14:paraId="7F8D9AB7" w14:textId="46007FF0" w:rsidR="00B41B38" w:rsidRDefault="00B41B38" w:rsidP="00B41B38">
      <w:pPr>
        <w:jc w:val="both"/>
      </w:pPr>
      <w:r>
        <w:t xml:space="preserve">Overall, this work demonstrates that by combining multiple harmonised references within a biologically principled machine learning framework, it is possible to overcome the majority of technical and biological variability that currently limits automated annotation in </w:t>
      </w:r>
      <w:proofErr w:type="gramStart"/>
      <w:r>
        <w:t>single-cell</w:t>
      </w:r>
      <w:proofErr w:type="gramEnd"/>
      <w:r>
        <w:t xml:space="preserve"> </w:t>
      </w:r>
      <w:proofErr w:type="spellStart"/>
      <w:r>
        <w:t>proteogenomics</w:t>
      </w:r>
      <w:proofErr w:type="spellEnd"/>
      <w:r>
        <w:t>.</w:t>
      </w:r>
    </w:p>
    <w:p w14:paraId="2C409EC0" w14:textId="77777777" w:rsidR="00B41B38" w:rsidRDefault="00B41B38" w:rsidP="00B41B38"/>
    <w:p w14:paraId="50A1A9C9" w14:textId="29C938A6" w:rsidR="0080310C" w:rsidRDefault="0080310C" w:rsidP="00B41B38">
      <w:pPr>
        <w:rPr>
          <w:b/>
          <w:bCs/>
        </w:rPr>
      </w:pPr>
      <w:r>
        <w:rPr>
          <w:b/>
          <w:bCs/>
        </w:rPr>
        <w:t>Methods</w:t>
      </w:r>
    </w:p>
    <w:p w14:paraId="2DE14E5D" w14:textId="41AACDB0" w:rsidR="006927B8" w:rsidRPr="006927B8" w:rsidRDefault="006927B8">
      <w:pPr>
        <w:rPr>
          <w:b/>
          <w:bCs/>
        </w:rPr>
      </w:pPr>
      <w:r w:rsidRPr="006927B8">
        <w:rPr>
          <w:b/>
          <w:bCs/>
        </w:rPr>
        <w:t>Label harmonisation</w:t>
      </w:r>
    </w:p>
    <w:p w14:paraId="6DF23E3D" w14:textId="3981AB4A" w:rsidR="00061E09" w:rsidRDefault="00414B75">
      <w:r>
        <w:t xml:space="preserve">Datasets were filtered to only retain shared markers from their </w:t>
      </w:r>
      <w:proofErr w:type="spellStart"/>
      <w:r>
        <w:t>adt</w:t>
      </w:r>
      <w:proofErr w:type="spellEnd"/>
      <w:r>
        <w:t xml:space="preserve"> matrices. Datasets were then merged, and ADT signal was CLR normalised regressing out protein oligonucleotide chemistry. Data was integrated </w:t>
      </w:r>
      <w:r w:rsidR="006927B8">
        <w:t>with</w:t>
      </w:r>
      <w:r>
        <w:t xml:space="preserve"> </w:t>
      </w:r>
      <w:proofErr w:type="spellStart"/>
      <w:r>
        <w:t>harmonypy</w:t>
      </w:r>
      <w:proofErr w:type="spellEnd"/>
      <w:r>
        <w:t xml:space="preserve"> using “batch” of origin as covariance. Integrated dimensions were used to create a batch corrected </w:t>
      </w:r>
      <w:proofErr w:type="spellStart"/>
      <w:r>
        <w:t>umap</w:t>
      </w:r>
      <w:proofErr w:type="spellEnd"/>
      <w:r>
        <w:t xml:space="preserve">, </w:t>
      </w:r>
      <w:r>
        <w:lastRenderedPageBreak/>
        <w:t xml:space="preserve">used for community clustering via </w:t>
      </w:r>
      <w:proofErr w:type="spellStart"/>
      <w:r>
        <w:t>leiden</w:t>
      </w:r>
      <w:proofErr w:type="spellEnd"/>
      <w:r>
        <w:t xml:space="preserve"> algorithm. </w:t>
      </w:r>
      <w:proofErr w:type="spellStart"/>
      <w:r>
        <w:t>Cellhint</w:t>
      </w:r>
      <w:proofErr w:type="spellEnd"/>
      <w:r>
        <w:t xml:space="preserve"> was then run to identify </w:t>
      </w:r>
      <w:r w:rsidR="001A6108">
        <w:t>groupings of cells which share the same</w:t>
      </w:r>
      <w:r>
        <w:t xml:space="preserve"> cellular type identities despite differences in the</w:t>
      </w:r>
      <w:r w:rsidR="001A6108">
        <w:t xml:space="preserve">ir </w:t>
      </w:r>
      <w:r>
        <w:t>annotation</w:t>
      </w:r>
      <w:r w:rsidR="001A6108">
        <w:t xml:space="preserve"> across the integrated datasets</w:t>
      </w:r>
      <w:r>
        <w:t xml:space="preserve">. </w:t>
      </w:r>
      <w:r w:rsidR="007F286C">
        <w:t xml:space="preserve">Leiden clusters were assigned a cellular identity based on the cellular frequencies of labels and </w:t>
      </w:r>
      <w:proofErr w:type="spellStart"/>
      <w:r w:rsidR="007F286C">
        <w:t>Cellhint</w:t>
      </w:r>
      <w:proofErr w:type="spellEnd"/>
      <w:r w:rsidR="007F286C">
        <w:t xml:space="preserve"> higher hierarchies. </w:t>
      </w:r>
      <w:proofErr w:type="spellStart"/>
      <w:r w:rsidR="00061E09">
        <w:t>Subclustering</w:t>
      </w:r>
      <w:proofErr w:type="spellEnd"/>
      <w:r w:rsidR="00061E09">
        <w:t xml:space="preserve"> of cellular fractions was performed to improve precision of </w:t>
      </w:r>
      <w:r w:rsidR="006927B8">
        <w:t>clustering and cellular type assignment.</w:t>
      </w:r>
    </w:p>
    <w:p w14:paraId="0620DA1A" w14:textId="77777777" w:rsidR="0080362D" w:rsidRDefault="006927B8" w:rsidP="0080362D">
      <w:r>
        <w:t>A large</w:t>
      </w:r>
      <w:r w:rsidR="007F286C">
        <w:t xml:space="preserve"> progenitor population which was further stratified by reperforming the steps above, this time integrating only those datasets with prevailing HSPCs (excluding the Hao dataset)</w:t>
      </w:r>
      <w:r w:rsidR="0080362D">
        <w:t xml:space="preserve"> Public reference datasets lack consensus of cellular composition, labelling strategies, applied</w:t>
      </w:r>
    </w:p>
    <w:p w14:paraId="355BDA0F" w14:textId="77777777" w:rsidR="0080362D" w:rsidRDefault="0080362D" w:rsidP="0080362D">
      <w:r>
        <w:t>chemistry and antibody panels.</w:t>
      </w:r>
    </w:p>
    <w:sectPr w:rsidR="008036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9E9FF" w14:textId="77777777" w:rsidR="009A707E" w:rsidRDefault="009A707E" w:rsidP="006A69F7">
      <w:pPr>
        <w:spacing w:after="0" w:line="240" w:lineRule="auto"/>
      </w:pPr>
      <w:r>
        <w:separator/>
      </w:r>
    </w:p>
  </w:endnote>
  <w:endnote w:type="continuationSeparator" w:id="0">
    <w:p w14:paraId="3BF61614" w14:textId="77777777" w:rsidR="009A707E" w:rsidRDefault="009A707E" w:rsidP="006A6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AB768" w14:textId="77777777" w:rsidR="009A707E" w:rsidRDefault="009A707E" w:rsidP="006A69F7">
      <w:pPr>
        <w:spacing w:after="0" w:line="240" w:lineRule="auto"/>
      </w:pPr>
      <w:r>
        <w:separator/>
      </w:r>
    </w:p>
  </w:footnote>
  <w:footnote w:type="continuationSeparator" w:id="0">
    <w:p w14:paraId="41F53DCA" w14:textId="77777777" w:rsidR="009A707E" w:rsidRDefault="009A707E" w:rsidP="006A69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75"/>
    <w:rsid w:val="00001497"/>
    <w:rsid w:val="0000354A"/>
    <w:rsid w:val="000146AB"/>
    <w:rsid w:val="00014E3F"/>
    <w:rsid w:val="00017848"/>
    <w:rsid w:val="00017CF9"/>
    <w:rsid w:val="00021E9B"/>
    <w:rsid w:val="000232B9"/>
    <w:rsid w:val="00024AD0"/>
    <w:rsid w:val="00033423"/>
    <w:rsid w:val="00054503"/>
    <w:rsid w:val="00055695"/>
    <w:rsid w:val="00061E09"/>
    <w:rsid w:val="00061F2B"/>
    <w:rsid w:val="00074328"/>
    <w:rsid w:val="00080480"/>
    <w:rsid w:val="0008694E"/>
    <w:rsid w:val="000B7709"/>
    <w:rsid w:val="000C4414"/>
    <w:rsid w:val="000D1F71"/>
    <w:rsid w:val="000D4C61"/>
    <w:rsid w:val="00110D56"/>
    <w:rsid w:val="001154C1"/>
    <w:rsid w:val="001262CF"/>
    <w:rsid w:val="00162D04"/>
    <w:rsid w:val="001679F0"/>
    <w:rsid w:val="00182CF2"/>
    <w:rsid w:val="00192251"/>
    <w:rsid w:val="001A40F0"/>
    <w:rsid w:val="001A432A"/>
    <w:rsid w:val="001A6108"/>
    <w:rsid w:val="001B0456"/>
    <w:rsid w:val="001B2BD3"/>
    <w:rsid w:val="001C3992"/>
    <w:rsid w:val="001D3621"/>
    <w:rsid w:val="001D52CA"/>
    <w:rsid w:val="002146FE"/>
    <w:rsid w:val="00214FF6"/>
    <w:rsid w:val="0027050F"/>
    <w:rsid w:val="002933F9"/>
    <w:rsid w:val="002D120F"/>
    <w:rsid w:val="002F3149"/>
    <w:rsid w:val="00306942"/>
    <w:rsid w:val="00311B3E"/>
    <w:rsid w:val="003552DC"/>
    <w:rsid w:val="00360019"/>
    <w:rsid w:val="00390EC9"/>
    <w:rsid w:val="003A14F3"/>
    <w:rsid w:val="003C6735"/>
    <w:rsid w:val="004046C0"/>
    <w:rsid w:val="00414B75"/>
    <w:rsid w:val="00424405"/>
    <w:rsid w:val="00445C34"/>
    <w:rsid w:val="00456550"/>
    <w:rsid w:val="00475409"/>
    <w:rsid w:val="004A5834"/>
    <w:rsid w:val="004B69A4"/>
    <w:rsid w:val="00525FD8"/>
    <w:rsid w:val="00556EA8"/>
    <w:rsid w:val="0058534D"/>
    <w:rsid w:val="005B118E"/>
    <w:rsid w:val="005C1B27"/>
    <w:rsid w:val="005D272B"/>
    <w:rsid w:val="005F4D84"/>
    <w:rsid w:val="00605647"/>
    <w:rsid w:val="0066309F"/>
    <w:rsid w:val="00665190"/>
    <w:rsid w:val="006927B8"/>
    <w:rsid w:val="006A69F7"/>
    <w:rsid w:val="006D2984"/>
    <w:rsid w:val="006E63A3"/>
    <w:rsid w:val="006E70AD"/>
    <w:rsid w:val="00701C99"/>
    <w:rsid w:val="0072104D"/>
    <w:rsid w:val="00721926"/>
    <w:rsid w:val="007343D3"/>
    <w:rsid w:val="00740ADA"/>
    <w:rsid w:val="00744A01"/>
    <w:rsid w:val="0076225E"/>
    <w:rsid w:val="00773F18"/>
    <w:rsid w:val="007A063E"/>
    <w:rsid w:val="007A23EF"/>
    <w:rsid w:val="007C2AFF"/>
    <w:rsid w:val="007F286C"/>
    <w:rsid w:val="0080310C"/>
    <w:rsid w:val="00803223"/>
    <w:rsid w:val="0080362D"/>
    <w:rsid w:val="00804691"/>
    <w:rsid w:val="0080500D"/>
    <w:rsid w:val="00871D43"/>
    <w:rsid w:val="00872AF5"/>
    <w:rsid w:val="00874BD3"/>
    <w:rsid w:val="008B4537"/>
    <w:rsid w:val="008B6792"/>
    <w:rsid w:val="008F44D8"/>
    <w:rsid w:val="009211ED"/>
    <w:rsid w:val="00932694"/>
    <w:rsid w:val="00944B20"/>
    <w:rsid w:val="00970B34"/>
    <w:rsid w:val="009A6067"/>
    <w:rsid w:val="009A707E"/>
    <w:rsid w:val="009B09BE"/>
    <w:rsid w:val="009B14C4"/>
    <w:rsid w:val="009B760A"/>
    <w:rsid w:val="009C51EA"/>
    <w:rsid w:val="009F5469"/>
    <w:rsid w:val="00A02A51"/>
    <w:rsid w:val="00A05D36"/>
    <w:rsid w:val="00A12638"/>
    <w:rsid w:val="00A42CFA"/>
    <w:rsid w:val="00A50E66"/>
    <w:rsid w:val="00A72D48"/>
    <w:rsid w:val="00A745A8"/>
    <w:rsid w:val="00A75342"/>
    <w:rsid w:val="00A853DE"/>
    <w:rsid w:val="00A90EC8"/>
    <w:rsid w:val="00AA3593"/>
    <w:rsid w:val="00AC36A1"/>
    <w:rsid w:val="00AE031D"/>
    <w:rsid w:val="00AF68EA"/>
    <w:rsid w:val="00B2448B"/>
    <w:rsid w:val="00B303B6"/>
    <w:rsid w:val="00B3321F"/>
    <w:rsid w:val="00B35A23"/>
    <w:rsid w:val="00B41B38"/>
    <w:rsid w:val="00B46B37"/>
    <w:rsid w:val="00B4792F"/>
    <w:rsid w:val="00B47FEB"/>
    <w:rsid w:val="00B513C3"/>
    <w:rsid w:val="00B6074B"/>
    <w:rsid w:val="00B769F7"/>
    <w:rsid w:val="00B9460F"/>
    <w:rsid w:val="00BB73F7"/>
    <w:rsid w:val="00BE2F7F"/>
    <w:rsid w:val="00C25EFB"/>
    <w:rsid w:val="00C27D51"/>
    <w:rsid w:val="00C32C0A"/>
    <w:rsid w:val="00C813BE"/>
    <w:rsid w:val="00C96E91"/>
    <w:rsid w:val="00CA0D44"/>
    <w:rsid w:val="00CC466A"/>
    <w:rsid w:val="00CD6009"/>
    <w:rsid w:val="00CE1334"/>
    <w:rsid w:val="00CE283B"/>
    <w:rsid w:val="00D069B8"/>
    <w:rsid w:val="00D23C9B"/>
    <w:rsid w:val="00D25E3A"/>
    <w:rsid w:val="00D4711F"/>
    <w:rsid w:val="00D5595B"/>
    <w:rsid w:val="00D670AA"/>
    <w:rsid w:val="00D80B7D"/>
    <w:rsid w:val="00D949A4"/>
    <w:rsid w:val="00DC38B8"/>
    <w:rsid w:val="00DC6B3C"/>
    <w:rsid w:val="00DD24EE"/>
    <w:rsid w:val="00E04E51"/>
    <w:rsid w:val="00E172FB"/>
    <w:rsid w:val="00E37717"/>
    <w:rsid w:val="00E53A58"/>
    <w:rsid w:val="00EB4BF7"/>
    <w:rsid w:val="00ED4425"/>
    <w:rsid w:val="00EE73DB"/>
    <w:rsid w:val="00EF1DA3"/>
    <w:rsid w:val="00F31CFF"/>
    <w:rsid w:val="00F419C6"/>
    <w:rsid w:val="00F85EA7"/>
    <w:rsid w:val="00FA2932"/>
    <w:rsid w:val="00FB680F"/>
    <w:rsid w:val="00FD6ABD"/>
    <w:rsid w:val="00FE003A"/>
    <w:rsid w:val="00FE782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4A0F07"/>
  <w15:chartTrackingRefBased/>
  <w15:docId w15:val="{1DC2113E-B214-ED43-B04A-ABD79BB1C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75"/>
    <w:rPr>
      <w:rFonts w:eastAsiaTheme="majorEastAsia" w:cstheme="majorBidi"/>
      <w:color w:val="272727" w:themeColor="text1" w:themeTint="D8"/>
    </w:rPr>
  </w:style>
  <w:style w:type="paragraph" w:styleId="Title">
    <w:name w:val="Title"/>
    <w:basedOn w:val="Normal"/>
    <w:next w:val="Normal"/>
    <w:link w:val="TitleChar"/>
    <w:uiPriority w:val="10"/>
    <w:qFormat/>
    <w:rsid w:val="0041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75"/>
    <w:pPr>
      <w:spacing w:before="160"/>
      <w:jc w:val="center"/>
    </w:pPr>
    <w:rPr>
      <w:i/>
      <w:iCs/>
      <w:color w:val="404040" w:themeColor="text1" w:themeTint="BF"/>
    </w:rPr>
  </w:style>
  <w:style w:type="character" w:customStyle="1" w:styleId="QuoteChar">
    <w:name w:val="Quote Char"/>
    <w:basedOn w:val="DefaultParagraphFont"/>
    <w:link w:val="Quote"/>
    <w:uiPriority w:val="29"/>
    <w:rsid w:val="00414B75"/>
    <w:rPr>
      <w:i/>
      <w:iCs/>
      <w:color w:val="404040" w:themeColor="text1" w:themeTint="BF"/>
    </w:rPr>
  </w:style>
  <w:style w:type="paragraph" w:styleId="ListParagraph">
    <w:name w:val="List Paragraph"/>
    <w:basedOn w:val="Normal"/>
    <w:uiPriority w:val="34"/>
    <w:qFormat/>
    <w:rsid w:val="00414B75"/>
    <w:pPr>
      <w:ind w:left="720"/>
      <w:contextualSpacing/>
    </w:pPr>
  </w:style>
  <w:style w:type="character" w:styleId="IntenseEmphasis">
    <w:name w:val="Intense Emphasis"/>
    <w:basedOn w:val="DefaultParagraphFont"/>
    <w:uiPriority w:val="21"/>
    <w:qFormat/>
    <w:rsid w:val="00414B75"/>
    <w:rPr>
      <w:i/>
      <w:iCs/>
      <w:color w:val="0F4761" w:themeColor="accent1" w:themeShade="BF"/>
    </w:rPr>
  </w:style>
  <w:style w:type="paragraph" w:styleId="IntenseQuote">
    <w:name w:val="Intense Quote"/>
    <w:basedOn w:val="Normal"/>
    <w:next w:val="Normal"/>
    <w:link w:val="IntenseQuoteChar"/>
    <w:uiPriority w:val="30"/>
    <w:qFormat/>
    <w:rsid w:val="00414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75"/>
    <w:rPr>
      <w:i/>
      <w:iCs/>
      <w:color w:val="0F4761" w:themeColor="accent1" w:themeShade="BF"/>
    </w:rPr>
  </w:style>
  <w:style w:type="character" w:styleId="IntenseReference">
    <w:name w:val="Intense Reference"/>
    <w:basedOn w:val="DefaultParagraphFont"/>
    <w:uiPriority w:val="32"/>
    <w:qFormat/>
    <w:rsid w:val="00414B75"/>
    <w:rPr>
      <w:b/>
      <w:bCs/>
      <w:smallCaps/>
      <w:color w:val="0F4761" w:themeColor="accent1" w:themeShade="BF"/>
      <w:spacing w:val="5"/>
    </w:rPr>
  </w:style>
  <w:style w:type="paragraph" w:customStyle="1" w:styleId="p1">
    <w:name w:val="p1"/>
    <w:basedOn w:val="Normal"/>
    <w:rsid w:val="0080362D"/>
    <w:pPr>
      <w:spacing w:after="0" w:line="240" w:lineRule="auto"/>
    </w:pPr>
    <w:rPr>
      <w:rFonts w:ascii="Helvetica" w:eastAsia="Times New Roman" w:hAnsi="Helvetica" w:cs="Times New Roman"/>
      <w:color w:val="182850"/>
      <w:kern w:val="0"/>
      <w:sz w:val="18"/>
      <w:szCs w:val="18"/>
      <w14:ligatures w14:val="none"/>
    </w:rPr>
  </w:style>
  <w:style w:type="paragraph" w:customStyle="1" w:styleId="p2">
    <w:name w:val="p2"/>
    <w:basedOn w:val="Normal"/>
    <w:rsid w:val="0080362D"/>
    <w:pPr>
      <w:spacing w:after="0" w:line="240" w:lineRule="auto"/>
    </w:pPr>
    <w:rPr>
      <w:rFonts w:ascii="Helvetica" w:eastAsia="Times New Roman" w:hAnsi="Helvetica" w:cs="Times New Roman"/>
      <w:color w:val="000000"/>
      <w:kern w:val="0"/>
      <w:sz w:val="18"/>
      <w:szCs w:val="18"/>
      <w14:ligatures w14:val="none"/>
    </w:rPr>
  </w:style>
  <w:style w:type="character" w:customStyle="1" w:styleId="s1">
    <w:name w:val="s1"/>
    <w:basedOn w:val="DefaultParagraphFont"/>
    <w:rsid w:val="0080362D"/>
    <w:rPr>
      <w:rFonts w:ascii="Helvetica" w:hAnsi="Helvetica" w:hint="default"/>
      <w:sz w:val="12"/>
      <w:szCs w:val="12"/>
    </w:rPr>
  </w:style>
  <w:style w:type="paragraph" w:styleId="Header">
    <w:name w:val="header"/>
    <w:basedOn w:val="Normal"/>
    <w:link w:val="HeaderChar"/>
    <w:uiPriority w:val="99"/>
    <w:unhideWhenUsed/>
    <w:rsid w:val="006A69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9F7"/>
  </w:style>
  <w:style w:type="paragraph" w:styleId="Footer">
    <w:name w:val="footer"/>
    <w:basedOn w:val="Normal"/>
    <w:link w:val="FooterChar"/>
    <w:uiPriority w:val="99"/>
    <w:unhideWhenUsed/>
    <w:rsid w:val="006A69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4</Pages>
  <Words>1358</Words>
  <Characters>7745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Gurashi</dc:creator>
  <cp:keywords/>
  <dc:description/>
  <cp:lastModifiedBy>Kristian Gurashi</cp:lastModifiedBy>
  <cp:revision>8</cp:revision>
  <dcterms:created xsi:type="dcterms:W3CDTF">2025-07-23T13:44:00Z</dcterms:created>
  <dcterms:modified xsi:type="dcterms:W3CDTF">2025-08-13T14:59:00Z</dcterms:modified>
</cp:coreProperties>
</file>