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B2545"/>
          <w:sz w:val="40"/>
        </w:rPr>
        <w:t>实践平台：离心泵异常检测设计</w:t>
      </w:r>
    </w:p>
    <w:p>
      <w:pPr>
        <w:spacing w:after="200"/>
      </w:pPr>
      <w:r>
        <w:rPr>
          <w:rFonts w:ascii="Calibri" w:hAnsi="Calibri" w:eastAsia="Microsoft YaHei"/>
          <w:b/>
          <w:color w:val="2E74B5"/>
          <w:sz w:val="28"/>
        </w:rPr>
        <w:t>网页内容简化版</w:t>
      </w:r>
    </w:p>
    <w:p>
      <w:r>
        <w:rPr>
          <w:rFonts w:ascii="Calibri" w:hAnsi="Calibri" w:eastAsia="Microsoft YaHei"/>
          <w:b w:val="0"/>
          <w:color w:val="000000"/>
          <w:sz w:val="22"/>
        </w:rPr>
        <w:t>用途：供助学平台/实践平台页面重构使用。此版本面向网页展示，保留课程主线和学生任务，删减讲义长文、题库答案、内部修改意见、参考链接和过细代码说明。</w:t>
      </w:r>
    </w:p>
    <w:p>
      <w:pPr>
        <w:pStyle w:val="Heading1"/>
      </w:pPr>
      <w:r>
        <w:t>一、内容简化原则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页面只讲学生当下需要理解和完成的内容，避免把讲义、题库和开发备注混在同一个页面。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每个阶段固定保留四类信息：学习目标、关键知识、动手任务、提交成果。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理论说明控制在短段落内，代码细节放到“运行代码”或附件区，题库答案不在前台页面展示。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模型部分突出工程逻辑：为什么建模、用什么数据、如何评价、上线后怎样维护。</w:t>
      </w:r>
    </w:p>
    <w:p>
      <w:pPr>
        <w:pStyle w:val="Heading1"/>
      </w:pPr>
      <w:r>
        <w:t>二、建议页面结构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700"/>
        <w:gridCol w:w="35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页面模块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展示重点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建议交互/产出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任务概览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案例背景、异常类型、学习路径、最终成果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任务卡片、流程导航、成果清单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阶段学习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业务理解、数据理解、数据准备、模型建立、模型评估、模型部署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按阶段展开，保留阅读、提醒、实践、提交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动手实践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数据分析、清洗、特征工程、建模、评估、部署方案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代码运行、表单填写、结果上传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成果评价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技术指标、业务可行性、风险局限、上线建议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自动评分 + 教师审核 + 报告提交</w:t>
            </w:r>
          </w:p>
        </w:tc>
      </w:tr>
    </w:tbl>
    <w:p>
      <w:pPr>
        <w:pStyle w:val="Heading1"/>
      </w:pPr>
      <w:r>
        <w:t>三、平台总文案（精简版）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实践任务以炼化装置中的离心泵为对象，围绕“运行数据如何发现设备异常”展开。学生需要理解离心泵在化工生产中的作用，识别汽蚀、堵塞、轴承异常、叶轮损坏等典型异常风险，并使用历史运行数据建立异常检测模型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实践过程遵循 CRISP-DM 思路，按“任务描述、业务理解、数据理解、数据准备、模型建立、模型评估、模型部署”七个页面展开。学生将从业务问题出发，完成数据分析、数据清洗、特征构造、模型训练、模型评估和应用方案设计，最终形成一个可解释、可验证、可用于早期预警的异常检测原型。</w:t>
      </w:r>
    </w:p>
    <w:p>
      <w:pPr>
        <w:pStyle w:val="Heading1"/>
      </w:pPr>
      <w:r>
        <w:t>0 任务描述</w:t>
      </w:r>
    </w:p>
    <w:p>
      <w:r>
        <w:rPr>
          <w:rFonts w:ascii="Calibri" w:hAnsi="Calibri" w:eastAsia="Microsoft YaHei"/>
          <w:b w:val="0"/>
          <w:color w:val="000000"/>
          <w:sz w:val="22"/>
        </w:rPr>
        <w:t>以炼化装置中的离心泵为对象，学生通过运行数据识别汽蚀、堵塞、轴承异常、叶轮损坏等异常工况，最终形成一个可解释的异常检测原型。</w:t>
      </w:r>
    </w:p>
    <w:p>
      <w:pPr>
        <w:pStyle w:val="Heading2"/>
      </w:pPr>
      <w:r>
        <w:t>页面保留内容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企业为什么要做异常检测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正常与异常工况的直观对比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最终需要产出的模型、报告和上线建议</w:t>
      </w:r>
    </w:p>
    <w:p>
      <w:pPr>
        <w:pStyle w:val="Heading2"/>
      </w:pPr>
      <w:r>
        <w:t>学生动手任务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阅读案例背景，理解非计划停机、安全风险和维护成本问题。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查看典型工况图，判断异常检测要解决的核心问题。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明确最终成果：数据集、特征、模型、评估报告、部署说明。</w:t>
      </w:r>
    </w:p>
    <w:p>
      <w:pPr>
        <w:pStyle w:val="Heading2"/>
      </w:pPr>
      <w:r>
        <w:t>建议提交成果</w:t>
      </w:r>
    </w:p>
    <w:p>
      <w:r>
        <w:rPr>
          <w:rFonts w:ascii="Calibri" w:hAnsi="Calibri" w:eastAsia="Microsoft YaHei"/>
          <w:b/>
          <w:color w:val="1F4D78"/>
          <w:sz w:val="22"/>
        </w:rPr>
        <w:t>任务理解卡片：异常类型、业务价值、数据来源、预期成果。</w:t>
      </w:r>
    </w:p>
    <w:p>
      <w:pPr>
        <w:pStyle w:val="Heading1"/>
      </w:pPr>
      <w:r>
        <w:t>1 业务理解</w:t>
      </w:r>
    </w:p>
    <w:p>
      <w:r>
        <w:rPr>
          <w:rFonts w:ascii="Calibri" w:hAnsi="Calibri" w:eastAsia="Microsoft YaHei"/>
          <w:b w:val="0"/>
          <w:color w:val="000000"/>
          <w:sz w:val="22"/>
        </w:rPr>
        <w:t>把“保障安全生产、减少停机、降低维护成本”转化为可执行的数据挖掘目标。平台只保留业务目标、现状评估、数据挖掘目标和工作计划四个小任务。</w:t>
      </w:r>
    </w:p>
    <w:p>
      <w:pPr>
        <w:pStyle w:val="Heading2"/>
      </w:pPr>
      <w:r>
        <w:t>页面保留内容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业务目标：早发现、早预警、早处理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现状评估：传感器、历史记录、故障标签和数据质量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数据挖掘目标：正常/异常判断、异常分数、风险等级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工作计划：调研、清洗、分析、建模、验证、总结</w:t>
      </w:r>
    </w:p>
    <w:p>
      <w:pPr>
        <w:pStyle w:val="Heading2"/>
      </w:pPr>
      <w:r>
        <w:t>学生动手任务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说明离心泵异常检测能带来的生产、安全和成本价值。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列出已有数据和限制，例如异常样本少、标签不完整、工况变化大。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确定模型输入、输出和评价方向。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形成项目实施步骤。</w:t>
      </w:r>
    </w:p>
    <w:p>
      <w:pPr>
        <w:pStyle w:val="Heading2"/>
      </w:pPr>
      <w:r>
        <w:t>建议提交成果</w:t>
      </w:r>
    </w:p>
    <w:p>
      <w:r>
        <w:rPr>
          <w:rFonts w:ascii="Calibri" w:hAnsi="Calibri" w:eastAsia="Microsoft YaHei"/>
          <w:b/>
          <w:color w:val="1F4D78"/>
          <w:sz w:val="22"/>
        </w:rPr>
        <w:t>业务理解表：业务目标、现状条件、数据挖掘目标、阶段计划。</w:t>
      </w:r>
    </w:p>
    <w:p>
      <w:pPr>
        <w:pStyle w:val="Heading1"/>
      </w:pPr>
      <w:r>
        <w:t>2 数据理解</w:t>
      </w:r>
    </w:p>
    <w:p>
      <w:r>
        <w:rPr>
          <w:rFonts w:ascii="Calibri" w:hAnsi="Calibri" w:eastAsia="Microsoft YaHei"/>
          <w:b w:val="0"/>
          <w:color w:val="000000"/>
          <w:sz w:val="22"/>
        </w:rPr>
        <w:t>让学生先看懂数据，再讨论模型。数据主要包括过程测量值、控制回路变量和阀门/执行机构状态。</w:t>
      </w:r>
    </w:p>
    <w:p>
      <w:pPr>
        <w:pStyle w:val="Heading2"/>
      </w:pPr>
      <w:r>
        <w:t>页面保留内容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关键变量：压力、流量、电流、振动、温度、转速、阀门开度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统计分析：均值、极值、波动范围、异常点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可视化：趋势图、箱线图、散点图、相关热力图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数据质量：缺失、重复、跳点、漂移、单位不一致</w:t>
      </w:r>
    </w:p>
    <w:p>
      <w:pPr>
        <w:pStyle w:val="Heading2"/>
      </w:pPr>
      <w:r>
        <w:t>学生动手任务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完成描述性统计，认识变量取值范围。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绘制关键变量趋势图，对比正常与异常片段。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识别缺失、重复、突变和停机无效数据。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分析压力、流量、电流、振动等变量之间的关系。</w:t>
      </w:r>
    </w:p>
    <w:p>
      <w:pPr>
        <w:pStyle w:val="Heading2"/>
      </w:pPr>
      <w:r>
        <w:t>建议提交成果</w:t>
      </w:r>
    </w:p>
    <w:p>
      <w:r>
        <w:rPr>
          <w:rFonts w:ascii="Calibri" w:hAnsi="Calibri" w:eastAsia="Microsoft YaHei"/>
          <w:b/>
          <w:color w:val="1F4D78"/>
          <w:sz w:val="22"/>
        </w:rPr>
        <w:t>数据理解报告：字段说明、统计结果、可视化图、质量问题清单。</w:t>
      </w:r>
    </w:p>
    <w:p>
      <w:pPr>
        <w:pStyle w:val="Heading1"/>
      </w:pPr>
      <w:r>
        <w:t>3 数据准备</w:t>
      </w:r>
    </w:p>
    <w:p>
      <w:r>
        <w:rPr>
          <w:rFonts w:ascii="Calibri" w:hAnsi="Calibri" w:eastAsia="Microsoft YaHei"/>
          <w:b w:val="0"/>
          <w:color w:val="000000"/>
          <w:sz w:val="22"/>
        </w:rPr>
        <w:t>把现场原始数据转化为可建模数据。重点不是“整理得好看”，而是让数据能反映离心泵运行状态。</w:t>
      </w:r>
    </w:p>
    <w:p>
      <w:pPr>
        <w:pStyle w:val="Heading2"/>
      </w:pPr>
      <w:r>
        <w:t>页面保留内容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数据选择：保留与泵运行状态直接相关的变量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数据清洗：处理缺失、重复、错误单位、停机时段和传感器异常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特征工程：压差、温升、电流/流量比、窗口均值、标准差、变化率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多源整合：按时间戳和设备编号关联报警、巡检、检修记录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格式化：形成以时间窗口为样本、以特征为列的建模表</w:t>
      </w:r>
    </w:p>
    <w:p>
      <w:pPr>
        <w:pStyle w:val="Heading2"/>
      </w:pPr>
      <w:r>
        <w:t>学生动手任务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筛选入口压力、出口压力、流量、振动、温度、电流等核心变量。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清洗无效记录，并保留可能代表真实故障的异常征兆。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用滑动时间窗生成统计特征。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按时间顺序划分训练集、验证集和测试集。</w:t>
      </w:r>
    </w:p>
    <w:p>
      <w:pPr>
        <w:pStyle w:val="Heading2"/>
      </w:pPr>
      <w:r>
        <w:t>建议提交成果</w:t>
      </w:r>
    </w:p>
    <w:p>
      <w:r>
        <w:rPr>
          <w:rFonts w:ascii="Calibri" w:hAnsi="Calibri" w:eastAsia="Microsoft YaHei"/>
          <w:b/>
          <w:color w:val="1F4D78"/>
          <w:sz w:val="22"/>
        </w:rPr>
        <w:t>建模数据集：清洗规则、特征列表、训练/验证/测试划分说明。</w:t>
      </w:r>
    </w:p>
    <w:p>
      <w:pPr>
        <w:pStyle w:val="Heading1"/>
      </w:pPr>
      <w:r>
        <w:t>4 模型建立</w:t>
      </w:r>
    </w:p>
    <w:p>
      <w:r>
        <w:rPr>
          <w:rFonts w:ascii="Calibri" w:hAnsi="Calibri" w:eastAsia="Microsoft YaHei"/>
          <w:b w:val="0"/>
          <w:color w:val="000000"/>
          <w:sz w:val="22"/>
        </w:rPr>
        <w:t>采用适合工业异常样本稀缺场景的半监督异常检测思路。建议以 Isolation Forest 作为主模型，并设置简单阈值规则作为基线对照。</w:t>
      </w:r>
    </w:p>
    <w:p>
      <w:pPr>
        <w:pStyle w:val="Heading2"/>
      </w:pPr>
      <w:r>
        <w:t>页面保留内容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建模思路：用正常工况学习正常运行模式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模型选择：Isolation Forest，可扩展到自编码器或 LSTM 自编码器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测试设计：按时间顺序划分，避免时序信息泄露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训练过程：标准化、窗口特征、模型训练、阈值选择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调优方向：特征、参数、报警阈值</w:t>
      </w:r>
    </w:p>
    <w:p>
      <w:pPr>
        <w:pStyle w:val="Heading2"/>
      </w:pPr>
      <w:r>
        <w:t>学生动手任务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选择模型并解释为什么适合离心泵异常检测。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设计训练集、验证集、测试集和评价指标。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训练模型，输出异常分数和正常/异常判断。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对误报、漏报场景进行分析并调优。</w:t>
      </w:r>
    </w:p>
    <w:p>
      <w:pPr>
        <w:pStyle w:val="Heading2"/>
      </w:pPr>
      <w:r>
        <w:t>建议提交成果</w:t>
      </w:r>
    </w:p>
    <w:p>
      <w:r>
        <w:rPr>
          <w:rFonts w:ascii="Calibri" w:hAnsi="Calibri" w:eastAsia="Microsoft YaHei"/>
          <w:b/>
          <w:color w:val="1F4D78"/>
          <w:sz w:val="22"/>
        </w:rPr>
        <w:t>模型训练记录：算法选择理由、参数、阈值、预测结果、调优说明。</w:t>
      </w:r>
    </w:p>
    <w:p>
      <w:pPr>
        <w:pStyle w:val="Heading1"/>
      </w:pPr>
      <w:r>
        <w:t>5 模型评估</w:t>
      </w:r>
    </w:p>
    <w:p>
      <w:r>
        <w:rPr>
          <w:rFonts w:ascii="Calibri" w:hAnsi="Calibri" w:eastAsia="Microsoft YaHei"/>
          <w:b w:val="0"/>
          <w:color w:val="000000"/>
          <w:sz w:val="22"/>
        </w:rPr>
        <w:t>评价模型是否真正满足业务目标，而不是只看准确率。离心泵场景应重点关注召回率、误报率、漏报率和预警提前量。</w:t>
      </w:r>
    </w:p>
    <w:p>
      <w:pPr>
        <w:pStyle w:val="Heading2"/>
      </w:pPr>
      <w:r>
        <w:t>页面保留内容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技术指标：精确率、召回率、F1、ROC-AUC、误报率、漏报率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业务价值：是否减少停机、辅助维护、降低安全风险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风险局限：异常类型有限、标签不完整、工况变化、传感器噪声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上线建议：先局部试运行，再逐步推广</w:t>
      </w:r>
    </w:p>
    <w:p>
      <w:pPr>
        <w:pStyle w:val="Heading2"/>
      </w:pPr>
      <w:r>
        <w:t>学生动手任务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撰写模型评估报告，解释测试结果。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分析模型对业务目标的支撑程度。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说明不能完全替代人工判断的原因。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提出上线、改进或继续采集数据的建议。</w:t>
      </w:r>
    </w:p>
    <w:p>
      <w:pPr>
        <w:pStyle w:val="Heading2"/>
      </w:pPr>
      <w:r>
        <w:t>建议提交成果</w:t>
      </w:r>
    </w:p>
    <w:p>
      <w:r>
        <w:rPr>
          <w:rFonts w:ascii="Calibri" w:hAnsi="Calibri" w:eastAsia="Microsoft YaHei"/>
          <w:b/>
          <w:color w:val="1F4D78"/>
          <w:sz w:val="22"/>
        </w:rPr>
        <w:t>模型评估报告：技术效果、业务可行性、风险局限、改进建议。</w:t>
      </w:r>
    </w:p>
    <w:p>
      <w:pPr>
        <w:pStyle w:val="Heading1"/>
      </w:pPr>
      <w:r>
        <w:t>6 模型部署（应用）</w:t>
      </w:r>
    </w:p>
    <w:p>
      <w:r>
        <w:rPr>
          <w:rFonts w:ascii="Calibri" w:hAnsi="Calibri" w:eastAsia="Microsoft YaHei"/>
          <w:b w:val="0"/>
          <w:color w:val="000000"/>
          <w:sz w:val="22"/>
        </w:rPr>
        <w:t>把模型从实验结果转化为可运行的应用方案。页面重点展示部署方式、数据接口、告警输出、监控维护和用户操作说明。</w:t>
      </w:r>
    </w:p>
    <w:p>
      <w:pPr>
        <w:pStyle w:val="Heading2"/>
      </w:pPr>
      <w:r>
        <w:t>页面保留内容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部署方式：本地分析服务、边缘模块、厂内服务器应用或 API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输入数据：振动、温度、压力、流量、电流等实时或准实时数据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输出结果：正常、异常、风险等级、异常分数、告警信息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监控维护：数据质量、模型性能、阈值调整、模型重训、版本回滚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用户手册：查看数据、理解告警、人工复核、处理常见问题</w:t>
      </w:r>
    </w:p>
    <w:p>
      <w:pPr>
        <w:pStyle w:val="Heading2"/>
      </w:pPr>
      <w:r>
        <w:t>学生动手任务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设计模型部署方案和系统接口。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说明上线后的运行流程和告警展示方式。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制定模型监控与维护计划。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编写面向操作人员的简明使用说明。</w:t>
      </w:r>
    </w:p>
    <w:p>
      <w:pPr>
        <w:pStyle w:val="Heading2"/>
      </w:pPr>
      <w:r>
        <w:t>建议提交成果</w:t>
      </w:r>
    </w:p>
    <w:p>
      <w:r>
        <w:rPr>
          <w:rFonts w:ascii="Calibri" w:hAnsi="Calibri" w:eastAsia="Microsoft YaHei"/>
          <w:b/>
          <w:color w:val="1F4D78"/>
          <w:sz w:val="22"/>
        </w:rPr>
        <w:t>部署应用包：部署方案、接口说明、监控计划、用户操作手册、项目总结。</w:t>
      </w:r>
    </w:p>
    <w:p>
      <w:pPr>
        <w:pStyle w:val="Heading1"/>
      </w:pPr>
      <w:r>
        <w:t>四、从原文删除或后置的内容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内容类型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处理方式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题库答案、评分标准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不放在学生前台内容中，放入教师端或评分配置。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内部修改建议、@人员备注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全部删除，转为项目协作记录。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长篇理论讲义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压缩为短阅读；详细讲义放资料区。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完整示例代码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页面只保留“运行代码”入口和任务说明，代码放实验环境。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大量模型参数表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保留主模型关键参数；完整参数放进阶资料。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参考链接和论文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移入拓展学习，不占主流程页面。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55555"/>
        <w:sz w:val="18"/>
      </w:rPr>
      <w:t>离心泵异常检测设计 - 网页内容简化版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