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scale—increasingly at high, allele-level resolution—is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both majority voting</w:t>
      </w:r>
      <w:r>
        <w:t xml:space="preserve"> (0.3844; +11.7 percentage points; exact McNemar p&lt;0.0001) </w:t>
      </w:r>
      <w:r>
        <w:rPr>
          <w:b/>
        </w:rPr>
        <w:t>and the best single tool</w:t>
      </w:r>
      <w:r>
        <w:t xml:space="preserve"> (OptiType, 0.4975), through per-gene champion routing.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rate)—which Champion-Challenger matches exactly while exceeding the best single tool—so Champion-Challenger can serve as the default consensus in the recommended bimodal configuration at no accuracy cost;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81.1% (two-field) / 82.2% (G-group) allele-level concordance across 30 samples—rising to 94.4% on a smaller per-sample-depth pilot—directly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Figure 7</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10</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production—the bundled per-modality weights (</w:t>
      </w:r>
      <w:r>
        <w:rPr>
          <w:rFonts w:ascii="Consolas" w:hAnsi="Consolas"/>
        </w:rPr>
        <w:t>tool_weights_{wgs,wes,rna}.json</w:t>
      </w:r>
      <w:r>
        <w:t>) and default override policy, which are the full-cohort analogue of the per-fold policy—and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folds of the nested cross-validation, so that weights applied to a held-out fold are never learned from it.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both MajorityVote (0.3844) by </w:t>
      </w:r>
      <w:r>
        <w:rPr>
          <w:b/>
        </w:rPr>
        <w:t>11.7 percentage points</w:t>
      </w:r>
      <w:r>
        <w:t xml:space="preserve"> and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the full 137-sample cohort (WGS) or the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0.498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0.260</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0.328</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0.080</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0.165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0.159</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both majority voting and the best single tool in WGS</w:t>
      </w:r>
      <w:r>
        <w:t xml:space="preserve"> — the most discordant modality — through per-gene champion routing (0.5012 vs 0.3844; exact McNemar p&lt;0.0001),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Figure 7</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Figure 7</w:t>
      </w:r>
      <w:r>
        <w:t>.</w:t>
      </w:r>
    </w:p>
    <w:p>
      <w:r>
        <w:rPr>
          <w:b/>
        </w:rPr>
        <w:t>Figure 7.</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w:t>
      </w:r>
    </w:p>
    <w:p>
      <w:pPr>
        <w:jc w:val="center"/>
      </w:pPr>
      <w:r>
        <w:drawing>
          <wp:inline xmlns:a="http://schemas.openxmlformats.org/drawingml/2006/main" xmlns:pic="http://schemas.openxmlformats.org/drawingml/2006/picture">
            <wp:extent cx="5486400" cy="1839767"/>
            <wp:docPr id="4" name="Picture 4"/>
            <wp:cNvGraphicFramePr>
              <a:graphicFrameLocks noChangeAspect="1"/>
            </wp:cNvGraphicFramePr>
            <a:graphic>
              <a:graphicData uri="http://schemas.openxmlformats.org/drawingml/2006/picture">
                <pic:pic>
                  <pic:nvPicPr>
                    <pic:cNvPr id="0" name="figure_8_computational_performance.png"/>
                    <pic:cNvPicPr/>
                  </pic:nvPicPr>
                  <pic:blipFill>
                    <a:blip r:embed="rId12"/>
                    <a:stretch>
                      <a:fillRect/>
                    </a:stretch>
                  </pic:blipFill>
                  <pic:spPr>
                    <a:xfrm>
                      <a:off x="0" y="0"/>
                      <a:ext cx="5486400" cy="1839767"/>
                    </a:xfrm>
                    <a:prstGeom prst="rect"/>
                  </pic:spPr>
                </pic:pic>
              </a:graphicData>
            </a:graphic>
          </wp:inline>
        </w:drawing>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Figure 5</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Figure 5.</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w:t>
      </w:r>
    </w:p>
    <w:p>
      <w:pPr>
        <w:jc w:val="center"/>
      </w:pPr>
      <w:r>
        <w:drawing>
          <wp:inline xmlns:a="http://schemas.openxmlformats.org/drawingml/2006/main" xmlns:pic="http://schemas.openxmlformats.org/drawingml/2006/picture">
            <wp:extent cx="5486400" cy="2164216"/>
            <wp:docPr id="5" name="Picture 5"/>
            <wp:cNvGraphicFramePr>
              <a:graphicFrameLocks noChangeAspect="1"/>
            </wp:cNvGraphicFramePr>
            <a:graphic>
              <a:graphicData uri="http://schemas.openxmlformats.org/drawingml/2006/picture">
                <pic:pic>
                  <pic:nvPicPr>
                    <pic:cNvPr id="0" name="figure_6_discordance_taxonomy.png"/>
                    <pic:cNvPicPr/>
                  </pic:nvPicPr>
                  <pic:blipFill>
                    <a:blip r:embed="rId13"/>
                    <a:stretch>
                      <a:fillRect/>
                    </a:stretch>
                  </pic:blipFill>
                  <pic:spPr>
                    <a:xfrm>
                      <a:off x="0" y="0"/>
                      <a:ext cx="5486400" cy="2164216"/>
                    </a:xfrm>
                    <a:prstGeom prst="rect"/>
                  </pic:spPr>
                </pic:pic>
              </a:graphicData>
            </a:graphic>
          </wp:inline>
        </w:drawing>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Figure 6</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overall (0.9623 vs 0.9623; exact McNemar p=1.0, two discordant loci each way) and exceeds the best single tool (0.9423); per gene it trails majority voting at HLA-A/-B and leads at HLA-C, a net wash (Results §7, Figure 8).</w:t>
      </w:r>
    </w:p>
    <w:p>
      <w:r>
        <w:rPr>
          <w:b/>
        </w:rPr>
        <w:t>Table 5.</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wave2 training split,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6" name="Picture 6"/>
            <wp:cNvGraphicFramePr>
              <a:graphicFrameLocks noChangeAspect="1"/>
            </wp:cNvGraphicFramePr>
            <a:graphic>
              <a:graphicData uri="http://schemas.openxmlformats.org/drawingml/2006/picture">
                <pic:pic>
                  <pic:nvPicPr>
                    <pic:cNvPr id="0" name="figure_4_confidence_calibration.png"/>
                    <pic:cNvPicPr/>
                  </pic:nvPicPr>
                  <pic:blipFill>
                    <a:blip r:embed="rId14"/>
                    <a:stretch>
                      <a:fillRect/>
                    </a:stretch>
                  </pic:blipFill>
                  <pic:spPr>
                    <a:xfrm>
                      <a:off x="0" y="0"/>
                      <a:ext cx="5486400" cy="2543328"/>
                    </a:xfrm>
                    <a:prstGeom prst="rect"/>
                  </pic:spPr>
                </pic:pic>
              </a:graphicData>
            </a:graphic>
          </wp:inline>
        </w:drawing>
      </w:r>
    </w:p>
    <w:p>
      <w:r>
        <w:rPr>
          <w:b/>
        </w:rPr>
        <w:t>Supplementary Figure S8.</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 </w:t>
      </w:r>
      <w:r>
        <w:rPr>
          <w:i/>
        </w:rPr>
        <w:t>(Source: `figures_final/figure_5_abstention_tradeoff`)</w:t>
      </w:r>
    </w:p>
    <w:p>
      <w:r>
        <w:rPr>
          <w:b/>
        </w:rPr>
        <w:t>Figure 6.</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w:t>
      </w:r>
    </w:p>
    <w:p>
      <w:pPr>
        <w:jc w:val="center"/>
      </w:pPr>
      <w:r>
        <w:drawing>
          <wp:inline xmlns:a="http://schemas.openxmlformats.org/drawingml/2006/main" xmlns:pic="http://schemas.openxmlformats.org/drawingml/2006/picture">
            <wp:extent cx="5486400" cy="2360008"/>
            <wp:docPr id="7" name="Picture 7"/>
            <wp:cNvGraphicFramePr>
              <a:graphicFrameLocks noChangeAspect="1"/>
            </wp:cNvGraphicFramePr>
            <a:graphic>
              <a:graphicData uri="http://schemas.openxmlformats.org/drawingml/2006/picture">
                <pic:pic>
                  <pic:nvPicPr>
                    <pic:cNvPr id="0" name="figure_7_confidence_weights.png"/>
                    <pic:cNvPicPr/>
                  </pic:nvPicPr>
                  <pic:blipFill>
                    <a:blip r:embed="rId15"/>
                    <a:stretch>
                      <a:fillRect/>
                    </a:stretch>
                  </pic:blipFill>
                  <pic:spPr>
                    <a:xfrm>
                      <a:off x="0" y="0"/>
                      <a:ext cx="5486400" cy="236000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S9</w:t>
      </w:r>
      <w:r>
        <w:t xml:space="preserve"> (commonness) and </w:t>
      </w:r>
      <w:r>
        <w:rPr>
          <w:b/>
        </w:rPr>
        <w:t>Supplementary Table S10</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Figure 11A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Figure 11B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r>
        <w:rPr>
          <w:b/>
        </w:rPr>
        <w:t>Figure 11.</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w:t>
      </w:r>
    </w:p>
    <w:p>
      <w:pPr>
        <w:jc w:val="center"/>
      </w:pPr>
      <w:r>
        <w:drawing>
          <wp:inline xmlns:a="http://schemas.openxmlformats.org/drawingml/2006/main" xmlns:pic="http://schemas.openxmlformats.org/drawingml/2006/picture">
            <wp:extent cx="5486400" cy="2262513"/>
            <wp:docPr id="8" name="Picture 8"/>
            <wp:cNvGraphicFramePr>
              <a:graphicFrameLocks noChangeAspect="1"/>
            </wp:cNvGraphicFramePr>
            <a:graphic>
              <a:graphicData uri="http://schemas.openxmlformats.org/drawingml/2006/picture">
                <pic:pic>
                  <pic:nvPicPr>
                    <pic:cNvPr id="0" name="figure_12_silver_truth_hprc.png"/>
                    <pic:cNvPicPr/>
                  </pic:nvPicPr>
                  <pic:blipFill>
                    <a:blip r:embed="rId16"/>
                    <a:stretch>
                      <a:fillRect/>
                    </a:stretch>
                  </pic:blipFill>
                  <pic:spPr>
                    <a:xfrm>
                      <a:off x="0" y="0"/>
                      <a:ext cx="5486400" cy="2262513"/>
                    </a:xfrm>
                    <a:prstGeom prst="rect"/>
                  </pic:spPr>
                </pic:pic>
              </a:graphicData>
            </a:graphic>
          </wp:inline>
        </w:drawing>
      </w:r>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8</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4):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Figure 9</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8.</w:t>
      </w:r>
      <w:r>
        <w:t xml:space="preserve"> </w:t>
      </w:r>
      <w:r>
        <w:rPr>
          <w:i/>
        </w:rPr>
        <w:t>Bimodal WES+RNA per-gene comparison (n=106 matched subjects; 10-fold nested cross-validation).</w:t>
      </w:r>
      <w:r>
        <w:t xml:space="preserve"> Grouped bars show overall correct-call rate at HLA-A, HLA-B, and HLA-C for bimodal MajorityVote, bimodal Champion-Challenger, and the best single tool (per gene, across WES and RNA-seq callers). Overall, bimodal Champion-Challenger matches bimodal majority voting exactly (0.9623 vs 0.9623; exact McNemar p=1.0) and both exceed the best single tool (0.9423); per gene the two consensus methods trade the lead—majority voting at HLA-A and -B, Champion-Challenger at HLA-C—a net wash. In the recommended bimodal configuration Champion-Challenger can therefore serve as the default consensus at no accuracy cost while adding calibration-guarded, auditable calls.</w:t>
      </w:r>
    </w:p>
    <w:p>
      <w:pPr>
        <w:jc w:val="center"/>
      </w:pPr>
      <w:r>
        <w:drawing>
          <wp:inline xmlns:a="http://schemas.openxmlformats.org/drawingml/2006/main" xmlns:pic="http://schemas.openxmlformats.org/drawingml/2006/picture">
            <wp:extent cx="5486400" cy="1889709"/>
            <wp:docPr id="9" name="Picture 9"/>
            <wp:cNvGraphicFramePr>
              <a:graphicFrameLocks noChangeAspect="1"/>
            </wp:cNvGraphicFramePr>
            <a:graphic>
              <a:graphicData uri="http://schemas.openxmlformats.org/drawingml/2006/picture">
                <pic:pic>
                  <pic:nvPicPr>
                    <pic:cNvPr id="0" name="figure_09_bimodal_per_gene.png"/>
                    <pic:cNvPicPr/>
                  </pic:nvPicPr>
                  <pic:blipFill>
                    <a:blip r:embed="rId17"/>
                    <a:stretch>
                      <a:fillRect/>
                    </a:stretch>
                  </pic:blipFill>
                  <pic:spPr>
                    <a:xfrm>
                      <a:off x="0" y="0"/>
                      <a:ext cx="5486400" cy="1889709"/>
                    </a:xfrm>
                    <a:prstGeom prst="rect"/>
                  </pic:spPr>
                </pic:pic>
              </a:graphicData>
            </a:graphic>
          </wp:inline>
        </w:drawing>
      </w:r>
    </w:p>
    <w:p>
      <w:r>
        <w:rPr>
          <w:b/>
        </w:rPr>
        <w:t>Figure 9.</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w:t>
      </w:r>
    </w:p>
    <w:p>
      <w:pPr>
        <w:jc w:val="center"/>
      </w:pPr>
      <w:r>
        <w:drawing>
          <wp:inline xmlns:a="http://schemas.openxmlformats.org/drawingml/2006/main" xmlns:pic="http://schemas.openxmlformats.org/drawingml/2006/picture">
            <wp:extent cx="5486400" cy="2698386"/>
            <wp:docPr id="10" name="Picture 10"/>
            <wp:cNvGraphicFramePr>
              <a:graphicFrameLocks noChangeAspect="1"/>
            </wp:cNvGraphicFramePr>
            <a:graphic>
              <a:graphicData uri="http://schemas.openxmlformats.org/drawingml/2006/picture">
                <pic:pic>
                  <pic:nvPicPr>
                    <pic:cNvPr id="0" name="figure_10_trimodal_comparison.png"/>
                    <pic:cNvPicPr/>
                  </pic:nvPicPr>
                  <pic:blipFill>
                    <a:blip r:embed="rId18"/>
                    <a:stretch>
                      <a:fillRect/>
                    </a:stretch>
                  </pic:blipFill>
                  <pic:spPr>
                    <a:xfrm>
                      <a:off x="0" y="0"/>
                      <a:ext cx="5486400" cy="2698386"/>
                    </a:xfrm>
                    <a:prstGeom prst="rect"/>
                  </pic:spPr>
                </pic:pic>
              </a:graphicData>
            </a:graphic>
          </wp:inline>
        </w:drawing>
      </w:r>
    </w:p>
    <w:p>
      <w:r>
        <w:rPr>
          <w:b/>
        </w:rPr>
        <w:t>Figure 10.</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11" name="Picture 11"/>
            <wp:cNvGraphicFramePr>
              <a:graphicFrameLocks noChangeAspect="1"/>
            </wp:cNvGraphicFramePr>
            <a:graphic>
              <a:graphicData uri="http://schemas.openxmlformats.org/drawingml/2006/picture">
                <pic:pic>
                  <pic:nvPicPr>
                    <pic:cNvPr id="0" name="figure_11_champion_challenger_combined.png"/>
                    <pic:cNvPicPr/>
                  </pic:nvPicPr>
                  <pic:blipFill>
                    <a:blip r:embed="rId19"/>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(Figure 12).</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(Figure 12C)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r>
        <w:rPr>
          <w:b/>
        </w:rPr>
        <w:t>Figure 12.</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w:t>
      </w:r>
    </w:p>
    <w:p>
      <w:pPr>
        <w:jc w:val="center"/>
      </w:pPr>
      <w:r>
        <w:drawing>
          <wp:inline xmlns:a="http://schemas.openxmlformats.org/drawingml/2006/main" xmlns:pic="http://schemas.openxmlformats.org/drawingml/2006/picture">
            <wp:extent cx="5486400" cy="1803806"/>
            <wp:docPr id="12" name="Picture 12"/>
            <wp:cNvGraphicFramePr>
              <a:graphicFrameLocks noChangeAspect="1"/>
            </wp:cNvGraphicFramePr>
            <a:graphic>
              <a:graphicData uri="http://schemas.openxmlformats.org/drawingml/2006/picture">
                <pic:pic>
                  <pic:nvPicPr>
                    <pic:cNvPr id="0" name="figure_13_external_validation_nci60.png"/>
                    <pic:cNvPicPr/>
                  </pic:nvPicPr>
                  <pic:blipFill>
                    <a:blip r:embed="rId20"/>
                    <a:stretch>
                      <a:fillRect/>
                    </a:stretch>
                  </pic:blipFill>
                  <pic:spPr>
                    <a:xfrm>
                      <a:off x="0" y="0"/>
                      <a:ext cx="5486400" cy="1803806"/>
                    </a:xfrm>
                    <a:prstGeom prst="rect"/>
                  </pic:spPr>
                </pic:pic>
              </a:graphicData>
            </a:graphic>
          </wp:inline>
        </w:drawing>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13A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13B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13.</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13" name="Picture 13"/>
            <wp:cNvGraphicFramePr>
              <a:graphicFrameLocks noChangeAspect="1"/>
            </wp:cNvGraphicFramePr>
            <a:graphic>
              <a:graphicData uri="http://schemas.openxmlformats.org/drawingml/2006/picture">
                <pic:pic>
                  <pic:nvPicPr>
                    <pic:cNvPr id="0" name="figure_14_flow_hla_a2.png"/>
                    <pic:cNvPicPr/>
                  </pic:nvPicPr>
                  <pic:blipFill>
                    <a:blip r:embed="rId21"/>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Figure 7</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Figure 7</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left to future work as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both majority voting (0.3844; +11.7 percentage points; exact McNemar p&lt;0.0001) and the best single tool,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both majority voting and the best single tool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Section (Outline)</w:t>
      </w:r>
    </w:p>
    <w:p>
      <w:pPr>
        <w:pStyle w:val="Heading2"/>
      </w:pPr>
      <w:r>
        <w:t>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S6. Champion-Challenger Sweep Surface</w:t>
      </w:r>
    </w:p>
    <w:p>
      <w:r>
        <w:t>Description of the sweep TSV file format, how to read the accuracy-override tradeoff table, and guidance for selecting a custom operating point for institution-specific precision requirements.</w:t>
      </w:r>
    </w:p>
    <w:p>
      <w:pPr>
        <w:pStyle w:val="Heading2"/>
      </w:pPr>
      <w:r>
        <w:t>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S8. Abstention–Accuracy Tradeoff (weighting-only consensus)</w:t>
      </w:r>
    </w:p>
    <w:p>
      <w:r>
        <w:rPr>
          <w:b/>
        </w:rPr>
        <w:t>Supplementary Figure S8</w:t>
      </w:r>
      <w:r>
        <w:t xml:space="preserve">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(Table 3, ablation row).</w:t>
      </w:r>
    </w:p>
    <w:p>
      <w:pPr>
        <w:pStyle w:val="Heading2"/>
      </w:pPr>
      <w:r>
        <w:t>S9. Accuracy by Allele Commonness (CIWD 3.0.0)</w:t>
      </w:r>
    </w:p>
    <w:p>
      <w:r>
        <w:t xml:space="preserve">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pPr>
        <w:pStyle w:val="Heading2"/>
      </w:pPr>
      <w:r>
        <w:t>S10. Accuracy by Continental Ancestry</w:t>
      </w:r>
    </w:p>
    <w:p>
      <w:r>
        <w:t xml:space="preserve">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pPr>
        <w:pStyle w:val="Heading2"/>
      </w:pPr>
      <w:r>
        <w:t>S11. Attempted External-Validation Cohorts Excluded on Integrity Grounds</w:t>
      </w:r>
    </w:p>
    <w:p>
      <w:r>
        <w:t xml:space="preserve">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4)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