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for champion–challenger HLA typing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high-resolution HLA typing at the population scale is now a prerequisite for transplantation matching, immunotherapy design, and pharmacogenomics screening, 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benchmark-derived reliability weights, and a novel </w:t>
      </w:r>
      <w:r>
        <w:rPr>
          <w:b/>
        </w:rPr>
        <w:t>Champion-Challenger</w:t>
      </w:r>
      <w:r>
        <w:t xml:space="preserve"> ensemble consensus method. ChampHLA eliminates per-tool installation burden, routes each tool to the appropriate input format automatically, and resolves cross-tool disagreement through a principled override policy: each HLA gene is assigned a benchmark-designated champion, and the ensemble may override the champion's call only when the aggregate evidence meets simultaneous criteria for support breadth, weight margin, tool diversity, and allele unambiguity. The champions and override thresholds are selected under nested cross-validation—learned on training folds and evaluated strictly out of fold—so that no reported accuracy is inflated by tuning on the data it is measured against, and every called locus carries a fully auditable decision trace.</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both majority voting</w:t>
      </w:r>
      <w:r>
        <w:t xml:space="preserve"> (0.3844; +11.7 percentage points; exact McNemar p&lt;0.0001) </w:t>
      </w:r>
      <w:r>
        <w:rPr>
          <w:b/>
        </w:rPr>
        <w:t>and the best single tool</w:t>
      </w:r>
      <w:r>
        <w:t xml:space="preserve"> (OptiType, 0.4975), through per-gene champion routing.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bimodal WES+RNA majority voting achieved the best multimodal result (0.9623 overall correct-call rate), while adding WGS to form a trimodal consensus did not improve performance (0.9591), identifying short-read WGS single-tool quality as the current accuracy bottleneck. To extend benchmarking to cohorts that lack gold-standard typing, ChampHLA also generates an orthogonal, agreement-gated </w:t>
      </w:r>
      <w:r>
        <w:rPr>
          <w:b/>
        </w:rPr>
        <w:t>silver-standard truth</w:t>
      </w:r>
      <w:r>
        <w:t>—Locityper genotyping against a Human Pangenome Reference Consortium (HPRC) pangenome database, annotated by Immuannot—which reproduced 1000 Genomes gold calls at 81.1% (two-field) / 82.2% (G-group) allele-level concordance across 30 samples—rising to 94.4% on a smaller per-sample-depth pilot—directly addressing the two-field resolution ceiling of the 2014 truth panel.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deployment, including a dedicated configuration for the CSC Puhti supercomputer.</w:t>
      </w:r>
    </w:p>
    <w:p>
      <w:pPr>
        <w:pStyle w:val="Heading1"/>
      </w:pPr>
      <w:r>
        <w:t>Abstract (Short, ≤200 words)</w:t>
      </w:r>
    </w:p>
    <w:p>
      <w:r>
        <w:t xml:space="preserve">Human leukocyte antigen (HLA) typing is essential for transplantation, pharmacogenomic safety, autoimmune genetics, and cancer immunotherapy, yet NGS-based typing remains fragmented across tools with incompatible inputs and no principled way to reconcile discordant predictions. We present </w:t>
      </w:r>
      <w:r>
        <w:rPr>
          <w:b/>
        </w:rPr>
        <w:t>ChampHLA</w:t>
      </w:r>
      <w:r>
        <w:t xml:space="preserve">, a reproducible Nextflow DSL2 pipeline integrating eight HLA typing tools (OptiType, HLA-HD, ArcasHLA, T1K, SpecHLA, Kourami, POLYSOLVER, Seq2HLA) in a containerised framework with a novel </w:t>
      </w:r>
      <w:r>
        <w:rPr>
          <w:b/>
        </w:rPr>
        <w:t>Champion-Challenger</w:t>
      </w:r>
      <w:r>
        <w:t xml:space="preserve"> ensemble: a per-gene benchmark champion whose call is overridden only when weighted ensemble evidence is simultaneously broad, marginal, tool-diverse, and unambiguous, with a fully auditable decision trace. Under 10-fold nested cross-validation with out-of-fold operating points, ChampHLA's advantage scaled with inter-tool discordance—on WGS it significantly beat majority voting (0.5012 vs 0.3844; exact McNemar p&lt;0.0001) and the best single tool via champion routing, while on the high-accuracy WES and RNA-seq modalities it matched majority voting (0.9436, 0.9408; not significant); an ablation showed the gain comes from routing, not weighting. ChampHLA also generates agreement-gated silver-standard truth (Locityper + HPRC pangenome + Immuannot) reproducing 1000 Genomes gold calls at 81.1% across 30 samples for cohorts lacking gold typing, and under frozen weights transferred to a non-1000G panel (NCI-60), matching majority voting.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nested-cross-validated override policy (thresholds selected on training folds and applied out of fold)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Figure 7</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10</w:t>
      </w:r>
      <w:r>
        <w:t xml:space="preserve"> contrasts the routed, evidence-gated Champion-Challenger decision flow with the symmetric majority-voting baseline and summarises its effect across the three modality benchmarks under nested cross-validation.</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folds under nested cross-validation.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outcome was </w:t>
      </w:r>
      <w:r>
        <w:rPr>
          <w:rFonts w:ascii="Consolas" w:hAnsi="Consolas"/>
        </w:rPr>
        <w:t>champion_retained</w:t>
      </w:r>
      <w:r>
        <w:t xml:space="preserve">, </w:t>
      </w:r>
      <w:r>
        <w:rPr>
          <w:rFonts w:ascii="Consolas" w:hAnsi="Consolas"/>
        </w:rPr>
        <w:t>champion_missing</w:t>
      </w:r>
      <w:r>
        <w:t xml:space="preserve"> (fallback used), or </w:t>
      </w:r>
      <w:r>
        <w:rPr>
          <w:rFonts w:ascii="Consolas" w:hAnsi="Consolas"/>
        </w:rPr>
        <w:t>challenger_override</w:t>
      </w:r>
      <w:r>
        <w:t xml:space="preserve">.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four threshold parameters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 The accuracy figures reported in this study are the held-out nested-cross-validation estimates produced by this re-analysis (</w:t>
      </w:r>
      <w:r>
        <w:rPr>
          <w:rFonts w:ascii="Consolas" w:hAnsi="Consolas"/>
        </w:rPr>
        <w:t>bin/nested_cv_champion_challenger.py</w:t>
      </w:r>
      <w:r>
        <w:t>, applied to the harmonised call tables). The released Nextflow pipeline applies a single frozen operating point for production—the bundled per-modality weights (</w:t>
      </w:r>
      <w:r>
        <w:rPr>
          <w:rFonts w:ascii="Consolas" w:hAnsi="Consolas"/>
        </w:rPr>
        <w:t>tool_weights_{wgs,wes,rna}.json</w:t>
      </w:r>
      <w:r>
        <w:t>) and default override policy, which are the full-cohort analogue of the per-fold policy—and is not intended to re-estimate held-out accuracy; users benchmarking on their own truth-backed cohorts should use the nested-CV re-analysis to obtain unbiased estimates.</w:t>
      </w:r>
    </w:p>
    <w:p>
      <w:pPr>
        <w:pStyle w:val="Heading2"/>
      </w:pPr>
      <w:r>
        <w:t>3. Benchmark-Derived Confidence Weights and Calibration Guardrail</w:t>
      </w:r>
    </w:p>
    <w:p>
      <w:r>
        <w:t xml:space="preserve">ChampHLA learns per-tool reliability weights from benchmark data rather than treating all tools as equally trustworthy. For each tool, modality, and gene, a </w:t>
      </w:r>
      <w:r>
        <w:rPr>
          <w:b/>
        </w:rPr>
        <w:t>base reliability</w:t>
      </w:r>
      <w:r>
        <w:t xml:space="preserve"> weight is computed as the fraction of calls matching the ground-truth allele pair at two-field resolution on the training folds of the nested cross-validation, so that weights applied to a held-out fold are never learned from it. Tools with high base reliability receive proportionally higher influence on the weighted consensus vote.</w:t>
      </w:r>
    </w:p>
    <w:p>
      <w:r>
        <w:t xml:space="preserve">In addition to base reliability, each tool's </w:t>
      </w:r>
      <w:r>
        <w:rPr>
          <w:b/>
        </w:rPr>
        <w:t>confidence signal</w:t>
      </w:r>
      <w:r>
        <w:t xml:space="preserve"> is evaluated empirically. Tool-native confidence proxies are extracted and normalised to [0, 1]: OptiType's integer-linear-programming objective score is divided by the maximum observed training-split value; ArcasHLA's posterior allele-pair probability is used directly; HLA-HD, T1K, and Kourami use per-allele read-support counts divided by a 50-read normalisation target; SpecHLA, POLYSOLVER, and Seq2HLA produce no per-call confidence output and are unconditionally assigned </w:t>
      </w:r>
      <w:r>
        <w:rPr>
          <w:rFonts w:ascii="Consolas" w:hAnsi="Consolas"/>
        </w:rPr>
        <w:t>no_confidence</w:t>
      </w:r>
      <w:r>
        <w:t xml:space="preserve"> status. Calibrated probabilities are derived from proxy scores using Platt scaling (logistic regression on training-split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w:t>
      </w:r>
      <w:r>
        <w:rPr>
          <w:b/>
        </w:rPr>
        <w:t>effective_confidence</w:t>
      </w:r>
      <w:r>
        <w:t xml:space="preserve"> is the Platt-scaled calibrated probability output from the leave-one-out logistic regression applied to the tool's native confidence proxy on training-split calls. For blocked tools, effective_confidence is set equal to base_reliability, collapsing the blended weight to base_reliability entirely. Note that the guardrail threshold (0.35) and the blend coefficients (0.7/0.3) are independent parameters: the threshold determines whether confidence enters the blending formula at all, while the coefficients determine how heavily confidence is weighted versus base_reliability when it does. The final blended weight is:</w:t>
      </w:r>
    </w:p>
    <w:p>
      <w:r>
        <w:t>```</w:t>
      </w:r>
    </w:p>
    <w:p>
      <w:r>
        <w:t>final_weight = 0.7 × base_reliability + 0.3 × effective_confidence</w:t>
      </w:r>
    </w:p>
    <w:p>
      <w:r>
        <w:t>```</w:t>
      </w:r>
    </w:p>
    <w:p>
      <w:r>
        <w:t xml:space="preserve">where the 0.7/0.3 coefficients represent a conservative benchmark-derived default that keeps reliability the dominant signal. This formula is applied at runtime when </w:t>
      </w:r>
      <w:r>
        <w:rPr>
          <w:rFonts w:ascii="Consolas" w:hAnsi="Consolas"/>
        </w:rPr>
        <w:t>--weighting calibrated</w:t>
      </w:r>
      <w:r>
        <w:t xml:space="preserve"> is specified; uniform equal weights are applied under </w:t>
      </w:r>
      <w:r>
        <w:rPr>
          <w:rFonts w:ascii="Consolas" w:hAnsi="Consolas"/>
        </w:rPr>
        <w:t>--weighting equal</w:t>
      </w:r>
      <w:r>
        <w:t>. Pre-computed modality-specific weight files (</w:t>
      </w:r>
      <w:r>
        <w:rPr>
          <w:rFonts w:ascii="Consolas" w:hAnsi="Consolas"/>
        </w:rPr>
        <w:t>tool_weights_wgs.json</w:t>
      </w:r>
      <w:r>
        <w:t xml:space="preserve">, </w:t>
      </w:r>
      <w:r>
        <w:rPr>
          <w:rFonts w:ascii="Consolas" w:hAnsi="Consolas"/>
        </w:rPr>
        <w:t>tool_weights_wes.json</w:t>
      </w:r>
      <w:r>
        <w:t xml:space="preserve">, </w:t>
      </w:r>
      <w:r>
        <w:rPr>
          <w:rFonts w:ascii="Consolas" w:hAnsi="Consolas"/>
        </w:rPr>
        <w:t>tool_weights_rna.json</w:t>
      </w:r>
      <w:r>
        <w:t>) are bundled with the pipeline and applied by default when no in-run benchmark data are available.</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propagated through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 50-sample "wave2" subset with a frozen 28/10/12 train/validation/holdout split is additionally retained for the confidence-calibration-guardrail characterisation (Results §4, Table 5), which is a per-tool property estimated on a dedicated training split.</w:t>
      </w:r>
    </w:p>
    <w:p>
      <w:r>
        <w:t>The secondary WES benchmark comprised 130 truth-backed 1000G samples from populations including CEU (n=12), FIN (n=7), GBR (n=6), TSI (n=6), YRI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propagated through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(three tests) with an exact McNemar test on discordant loci. The per-gene WGS McNemar tests and all secondary stratifications (allele commonness, ancestry, resolution) are reported as descriptive robustness checks rather than confirmatory tests; we note that the two significant per-gene WGS results (HLA-A and HLA-B) remain significant after Holm–Bonferroni correction across the three per-gene tests (both adjusted p&lt;0.005).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 The silver-truth reference databases use the latest IPD-IMGT/HLA release available at database-build time (3.64.0); this version affects only the silver-truth pipeline's internal allele set, whereas all gold-truth normalisation and primary accuracy scoring are pinned to IMGT/HLA 3.59.0 (Methods §6).</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both MajorityVote (0.3844) by </w:t>
      </w:r>
      <w:r>
        <w:rPr>
          <w:b/>
        </w:rPr>
        <w:t>11.7 percentage points</w:t>
      </w:r>
      <w:r>
        <w:t xml:space="preserve"> and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a small number of loci and was net corrective.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Section S8).</w:t>
      </w:r>
    </w:p>
    <w:p>
      <w:r>
        <w:t xml:space="preserve">These results are presented in full in </w:t>
      </w:r>
      <w:r>
        <w:rPr>
          <w:b/>
        </w:rPr>
        <w:t>Table 3</w:t>
      </w:r>
      <w:r>
        <w:t xml:space="preserve">, which reports callable rate, accuracy among callable loci, overall correct-call rate, 95% confidence intervals, and the paired McNemar test for all methods across the WGS, WES, and RNA-seq nested-CV benchmarks.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4</w:t>
      </w:r>
      <w:r>
        <w:t xml:space="preserve">. The abstention–accuracy tradeoff between callable rate and accuracy among callable loci for the weighting-only WeightedConsensus is a secondary property, reported in </w:t>
      </w:r>
      <w:r>
        <w:rPr>
          <w:b/>
        </w:rPr>
        <w:t>Supplementary Figure S8</w:t>
      </w:r>
      <w:r>
        <w:t>.</w:t>
      </w:r>
    </w:p>
    <w:p>
      <w:r>
        <w:rPr>
          <w:b/>
        </w:rPr>
        <w:t>Table 1. Supported callers, modalities, evidence types, and benchmark-derived base reliability</w:t>
      </w:r>
    </w:p>
    <w:p>
      <w:r>
        <w:rPr>
          <w:i/>
        </w:rPr>
        <w:t>Base reliability = overall correct-call rate on the respective modality benchmark training split (WGS) or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0.548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0.226</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0.262</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0.024</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0.155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0.141</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4, 6, 7) all use the 137-sample WGS cohort under 10-fold population-stratified nested cross-validation with strictly out-of-fold operating-point selection. A 50-sample WGS "wave2" subset with a frozen 28/10/12 train/validation/holdout split is retained only for the confidence-calibration-guardrail characterisation (Table 5).</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Paired Champion-Challenger-vs-MajorityVote comparison by exact McNemar test on discordant loci (b = loci ChampHLA calls correctly and MajorityVote does not; c = the reverse). RNA-seq scoring includes SpecHLA to benchmark against the full panel; the default production configuration excludes it (76.2% callable, 0.035 accuracy).</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both majority voting and the best single tool in WGS</w:t>
      </w:r>
      <w:r>
        <w:t xml:space="preserve"> — the most discordant modality — through per-gene champion routing (0.5012 vs 0.3844; exact McNemar p&lt;0.0001),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Figure 7</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Figure 7</w:t>
      </w:r>
      <w:r>
        <w:t>.</w:t>
      </w:r>
    </w:p>
    <w:p>
      <w:r>
        <w:rPr>
          <w:b/>
        </w:rPr>
        <w:t>Figure 7.</w:t>
      </w:r>
      <w:r>
        <w:t xml:space="preserve"> </w:t>
      </w:r>
      <w:r>
        <w:rPr>
          <w:i/>
        </w:rPr>
        <w:t>Computational resource requirements per HLA typing tool across sequencing modalities.</w:t>
      </w:r>
      <w:r>
        <w:t xml:space="preserve"> Three-panel figure showing peak RAM (GB), CPU utilisation (%), and wall-clock time (hours). Within each panel, grouped bars show median resource values per tool for WGS (orange), WES (blue), and RNA-seq (green) from 1000 Genomes Project samples (n=30 per modality for WGS and WES; RNA-seq: T1K and Seq2HLA n=30, ArcasHLA/HLA-HD/SpecHLA n=29, OptiType n=26 due to four samples exceeding the 8 h wall-clock limit). Error whiskers indicate P25–P75 interquartile range. Tools not applicable to a given modality are shown with hatched bars. All values measured from Nextflow execution traces (</w:t>
      </w:r>
      <w:r>
        <w:rPr>
          <w:rFonts w:ascii="Consolas" w:hAnsi="Consolas"/>
        </w:rPr>
        <w:t>realtime</w:t>
      </w:r>
      <w:r>
        <w:t xml:space="preserve">, </w:t>
      </w:r>
      <w:r>
        <w:rPr>
          <w:rFonts w:ascii="Consolas" w:hAnsi="Consolas"/>
        </w:rPr>
        <w:t>peak_rss</w:t>
      </w:r>
      <w:r>
        <w:t xml:space="preserve">, </w:t>
      </w:r>
      <w:r>
        <w:rPr>
          <w:rFonts w:ascii="Consolas" w:hAnsi="Consolas"/>
        </w:rPr>
        <w:t>%cpu</w:t>
      </w:r>
      <w:r>
        <w:t xml:space="preserve"> fields) from dedicated n=30 benchmark runs.</w:t>
      </w:r>
    </w:p>
    <w:p>
      <w:pPr>
        <w:jc w:val="center"/>
      </w:pPr>
      <w:r>
        <w:drawing>
          <wp:inline xmlns:a="http://schemas.openxmlformats.org/drawingml/2006/main" xmlns:pic="http://schemas.openxmlformats.org/drawingml/2006/picture">
            <wp:extent cx="5486400" cy="1839767"/>
            <wp:docPr id="4" name="Picture 4"/>
            <wp:cNvGraphicFramePr>
              <a:graphicFrameLocks noChangeAspect="1"/>
            </wp:cNvGraphicFramePr>
            <a:graphic>
              <a:graphicData uri="http://schemas.openxmlformats.org/drawingml/2006/picture">
                <pic:pic>
                  <pic:nvPicPr>
                    <pic:cNvPr id="0" name="figure_8_computational_performance.png"/>
                    <pic:cNvPicPr/>
                  </pic:nvPicPr>
                  <pic:blipFill>
                    <a:blip r:embed="rId12"/>
                    <a:stretch>
                      <a:fillRect/>
                    </a:stretch>
                  </pic:blipFill>
                  <pic:spPr>
                    <a:xfrm>
                      <a:off x="0" y="0"/>
                      <a:ext cx="5486400" cy="1839767"/>
                    </a:xfrm>
                    <a:prstGeom prst="rect"/>
                  </pic:spPr>
                </pic:pic>
              </a:graphicData>
            </a:graphic>
          </wp:inline>
        </w:drawing>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Figure 5</w:t>
      </w:r>
      <w:r>
        <w:t xml:space="preserve">; </w:t>
      </w:r>
      <w:r>
        <w:rPr>
          <w:b/>
        </w:rPr>
        <w:t>Table 6</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Figure 5.</w:t>
      </w:r>
      <w:r>
        <w:t xml:space="preserve"> </w:t>
      </w:r>
      <w:r>
        <w:rPr>
          <w:i/>
        </w:rPr>
        <w:t>Discordance taxonomy counts by modality.</w:t>
      </w:r>
      <w:r>
        <w:t xml:space="preserve"> Bar charts show the number of discordance events per category (</w:t>
      </w:r>
      <w:r>
        <w:rPr>
          <w:rFonts w:ascii="Consolas" w:hAnsi="Consolas"/>
        </w:rPr>
        <w:t>low_evidence_conflict</w:t>
      </w:r>
      <w:r>
        <w:t xml:space="preserve">, </w:t>
      </w:r>
      <w:r>
        <w:rPr>
          <w:rFonts w:ascii="Consolas" w:hAnsi="Consolas"/>
        </w:rPr>
        <w:t>no_evidence</w:t>
      </w:r>
      <w:r>
        <w:t xml:space="preserve">, </w:t>
      </w:r>
      <w:r>
        <w:rPr>
          <w:rFonts w:ascii="Consolas" w:hAnsi="Consolas"/>
        </w:rPr>
        <w:t>possible_expression_bias</w:t>
      </w:r>
      <w:r>
        <w:t xml:space="preserve">, </w:t>
      </w:r>
      <w:r>
        <w:rPr>
          <w:rFonts w:ascii="Consolas" w:hAnsi="Consolas"/>
        </w:rPr>
        <w:t>technical_conflict</w:t>
      </w:r>
      <w:r>
        <w:t xml:space="preserve">) for the WGS (n=411 loci), WES (n=390), and RNA-seq (n=321) benchmarks. WGS carries by far the highest discordance (42.3%, dominated by </w:t>
      </w:r>
      <w:r>
        <w:rPr>
          <w:rFonts w:ascii="Consolas" w:hAnsi="Consolas"/>
        </w:rPr>
        <w:t>low_evidence_conflict</w:t>
      </w:r>
      <w:r>
        <w:t xml:space="preserve"> from the wide spread of per-tool WGS accuracy), WES is intermediate (6.9%), and RNA-seq the lowest (4.0%), where the strong tools largely agree. The discordance ordering matches the modality ordering in which Champion-Challenger improves over majority voting.</w:t>
      </w:r>
    </w:p>
    <w:p>
      <w:pPr>
        <w:jc w:val="center"/>
      </w:pPr>
      <w:r>
        <w:drawing>
          <wp:inline xmlns:a="http://schemas.openxmlformats.org/drawingml/2006/main" xmlns:pic="http://schemas.openxmlformats.org/drawingml/2006/picture">
            <wp:extent cx="5486400" cy="2164216"/>
            <wp:docPr id="5" name="Picture 5"/>
            <wp:cNvGraphicFramePr>
              <a:graphicFrameLocks noChangeAspect="1"/>
            </wp:cNvGraphicFramePr>
            <a:graphic>
              <a:graphicData uri="http://schemas.openxmlformats.org/drawingml/2006/picture">
                <pic:pic>
                  <pic:nvPicPr>
                    <pic:cNvPr id="0" name="figure_6_discordance_taxonomy.png"/>
                    <pic:cNvPicPr/>
                  </pic:nvPicPr>
                  <pic:blipFill>
                    <a:blip r:embed="rId13"/>
                    <a:stretch>
                      <a:fillRect/>
                    </a:stretch>
                  </pic:blipFill>
                  <pic:spPr>
                    <a:xfrm>
                      <a:off x="0" y="0"/>
                      <a:ext cx="5486400" cy="2164216"/>
                    </a:xfrm>
                    <a:prstGeom prst="rect"/>
                  </pic:spPr>
                </pic:pic>
              </a:graphicData>
            </a:graphic>
          </wp:inline>
        </w:drawing>
      </w:r>
    </w:p>
    <w:p>
      <w:r>
        <w:rPr>
          <w:b/>
        </w:rPr>
        <w:t>Table 6.</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RNA-seq rate exceeds 100% because multiple discordance categories can be tagged per locus. Category counts extracted from `discordance_summary.tsv` per benchmark root (IMGT/HLA 3.59.0).</w:t>
      </w:r>
    </w:p>
    <w:p>
      <w:pPr>
        <w:pStyle w:val="Heading2"/>
      </w:pPr>
      <w:r>
        <w:t>4. Confidence Calibration and Benchmark-Derived Weights</w:t>
      </w:r>
    </w:p>
    <w:p>
      <w:r>
        <w:t>The confidence-calibration characterisation in this section was computed on the WGS wave2 training split (n=28)—a dedicated tool-property analysis distinct from the 137-sample nested-cross-validation primary benchmark. Because the ablation (Results §1) shows that weighting does not drive the reported accuracy, the guardrail functions as a soundness safeguard on the ensemble weights rather than as a contributor to the correct-call rates. The calibration guardrail system revealed that raw tool confidence signals are not directly comparable across HLA callers and cannot safely be used to amplify ensemble weights without empirical validation. In the WGS training split, five of eight tools contributed confidence signals; three of five were blocked by the guardrail. OptiType's integer-linear-programming objective score saturated at 1.0 across virtually all training calls regardless of whether the call was correct (Brier score=0.4524, ECE=0.4524), indicating that OptiType's confidence proxy is uninformative for weight boosting despite the tool's strong base accuracy (0.5476). HLA-HD similarly showed saturation-driven miscalibration (Brier=0.6170, ECE=0.6615), and Kourami showed the most extreme miscalibration of all five tools (Brier=0.8313, ECE=0.8489). Under the guardrail, all three are assigned final weights equal to their base reliabilities (OptiType=0.5476, HLA-HD=0.2294, Kourami=0.1408).</w:t>
      </w:r>
    </w:p>
    <w:p>
      <w:r>
        <w:t>The practical stakes of this miscalibration are best illustrated by a counterfactual. Without the guardrail, OptiType's saturated mean confidence of approximately 1.0 would push its blended final weight to approximately 0.7 × 0.5476 + 0.3 × 1.0 = 0.683—a 25% relative increase over its base reliability, driven entirely by an uninformative proxy that is equally high for correct and incorrect calls. HLA-HD, with mean confidence 0.899 but base reliability 0.226, would be similarly over-weighted relative to its actual accuracy. The calibration guardrail prevents both inflations, ensuring that the weight ordering correctly reflects the tool accuracy ranking rather than confidence-proxy magnitude (</w:t>
      </w:r>
      <w:r>
        <w:rPr>
          <w:b/>
        </w:rPr>
        <w:t>Figure 6</w:t>
      </w:r>
      <w:r>
        <w:t>).</w:t>
      </w:r>
    </w:p>
    <w:p>
      <w:r>
        <w:t xml:space="preserve">Two tools passed the guardrail: T1K (Brier=0.3144, ECE=0.3085), which retained a partial confidence boost resulting in a final weight of 0.2649 (versus base reliability 0.2619), and ArcasHLA (Brier=0.0235, ECE=0.0197), which showed excellent calibration but contributed negligible weight due to near-zero WGS accuracy (base reliability=0.0238; ArcasHLA is an RNA-seq-optimised tool applied out of distribution on WGS data). These calibration results are summarised in </w:t>
      </w:r>
      <w:r>
        <w:rPr>
          <w:b/>
        </w:rPr>
        <w:t>Table 5</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4.</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0.4853 (OptiType)</w:t>
            </w:r>
          </w:p>
        </w:tc>
        <w:tc>
          <w:tcPr>
            <w:tcW w:type="dxa" w:w="2160"/>
          </w:tcPr>
          <w:p>
            <w:r/>
            <w:r>
              <w:t>0.6985 (OptiType)</w:t>
            </w:r>
          </w:p>
        </w:tc>
        <w:tc>
          <w:tcPr>
            <w:tcW w:type="dxa" w:w="2160"/>
          </w:tcPr>
          <w:p>
            <w:r/>
            <w:r>
              <w:t>0.3413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In each gene Champion-Challenger tracks the per-gene single-tool ceiling (routing), confirming that the modality-level gain in Table 3 is the sum of per-gene champion routing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b/>
        </w:rPr>
        <w:t>Table 5.</w:t>
      </w:r>
      <w:r>
        <w:t xml:space="preserve"> </w:t>
      </w:r>
      <w:r>
        <w:rPr>
          <w:i/>
        </w:rPr>
        <w:t>Confidence calibration, guardrail status, and final weights (WGS wave2 training split)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0.0235</w:t>
            </w:r>
          </w:p>
        </w:tc>
        <w:tc>
          <w:tcPr>
            <w:tcW w:type="dxa" w:w="1440"/>
          </w:tcPr>
          <w:p>
            <w:r/>
            <w:r>
              <w:t>0.0197</w:t>
            </w:r>
          </w:p>
        </w:tc>
        <w:tc>
          <w:tcPr>
            <w:tcW w:type="dxa" w:w="1440"/>
          </w:tcPr>
          <w:p>
            <w:r/>
            <w:r>
              <w:t>Pass</w:t>
            </w:r>
          </w:p>
        </w:tc>
        <w:tc>
          <w:tcPr>
            <w:tcW w:type="dxa" w:w="1440"/>
          </w:tcPr>
          <w:p>
            <w:r/>
            <w:r>
              <w:t>0.026</w:t>
            </w:r>
          </w:p>
        </w:tc>
      </w:tr>
      <w:tr>
        <w:tc>
          <w:tcPr>
            <w:tcW w:type="dxa" w:w="1440"/>
          </w:tcPr>
          <w:p>
            <w:r/>
            <w:r>
              <w:t>T1K</w:t>
            </w:r>
          </w:p>
        </w:tc>
        <w:tc>
          <w:tcPr>
            <w:tcW w:type="dxa" w:w="1440"/>
          </w:tcPr>
          <w:p>
            <w:r/>
            <w:r>
              <w:t>Read-support proxy</w:t>
            </w:r>
          </w:p>
        </w:tc>
        <w:tc>
          <w:tcPr>
            <w:tcW w:type="dxa" w:w="1440"/>
          </w:tcPr>
          <w:p>
            <w:r/>
            <w:r>
              <w:t>0.3144</w:t>
            </w:r>
          </w:p>
        </w:tc>
        <w:tc>
          <w:tcPr>
            <w:tcW w:type="dxa" w:w="1440"/>
          </w:tcPr>
          <w:p>
            <w:r/>
            <w:r>
              <w:t>0.3085</w:t>
            </w:r>
          </w:p>
        </w:tc>
        <w:tc>
          <w:tcPr>
            <w:tcW w:type="dxa" w:w="1440"/>
          </w:tcPr>
          <w:p>
            <w:r/>
            <w:r>
              <w:t>Pass</w:t>
            </w:r>
          </w:p>
        </w:tc>
        <w:tc>
          <w:tcPr>
            <w:tcW w:type="dxa" w:w="1440"/>
          </w:tcPr>
          <w:p>
            <w:r/>
            <w:r>
              <w:t>0.265</w:t>
            </w:r>
          </w:p>
        </w:tc>
      </w:tr>
      <w:tr>
        <w:tc>
          <w:tcPr>
            <w:tcW w:type="dxa" w:w="1440"/>
          </w:tcPr>
          <w:p>
            <w:r/>
            <w:r>
              <w:t>OptiType</w:t>
            </w:r>
          </w:p>
        </w:tc>
        <w:tc>
          <w:tcPr>
            <w:tcW w:type="dxa" w:w="1440"/>
          </w:tcPr>
          <w:p>
            <w:r/>
            <w:r>
              <w:t>Objective score</w:t>
            </w:r>
          </w:p>
        </w:tc>
        <w:tc>
          <w:tcPr>
            <w:tcW w:type="dxa" w:w="1440"/>
          </w:tcPr>
          <w:p>
            <w:r/>
            <w:r>
              <w:t>0.4524</w:t>
            </w:r>
          </w:p>
        </w:tc>
        <w:tc>
          <w:tcPr>
            <w:tcW w:type="dxa" w:w="1440"/>
          </w:tcPr>
          <w:p>
            <w:r/>
            <w:r>
              <w:t>0.4524</w:t>
            </w:r>
          </w:p>
        </w:tc>
        <w:tc>
          <w:tcPr>
            <w:tcW w:type="dxa" w:w="1440"/>
          </w:tcPr>
          <w:p>
            <w:r/>
            <w:r>
              <w:t>Fail (blocked)</w:t>
            </w:r>
          </w:p>
        </w:tc>
        <w:tc>
          <w:tcPr>
            <w:tcW w:type="dxa" w:w="1440"/>
          </w:tcPr>
          <w:p>
            <w:r/>
            <w:r>
              <w:t>0.548</w:t>
            </w:r>
          </w:p>
        </w:tc>
      </w:tr>
      <w:tr>
        <w:tc>
          <w:tcPr>
            <w:tcW w:type="dxa" w:w="1440"/>
          </w:tcPr>
          <w:p>
            <w:r/>
            <w:r>
              <w:t>HLA-HD</w:t>
            </w:r>
          </w:p>
        </w:tc>
        <w:tc>
          <w:tcPr>
            <w:tcW w:type="dxa" w:w="1440"/>
          </w:tcPr>
          <w:p>
            <w:r/>
            <w:r>
              <w:t>Read-support proxy</w:t>
            </w:r>
          </w:p>
        </w:tc>
        <w:tc>
          <w:tcPr>
            <w:tcW w:type="dxa" w:w="1440"/>
          </w:tcPr>
          <w:p>
            <w:r/>
            <w:r>
              <w:t>0.6170</w:t>
            </w:r>
          </w:p>
        </w:tc>
        <w:tc>
          <w:tcPr>
            <w:tcW w:type="dxa" w:w="1440"/>
          </w:tcPr>
          <w:p>
            <w:r/>
            <w:r>
              <w:t>0.6615</w:t>
            </w:r>
          </w:p>
        </w:tc>
        <w:tc>
          <w:tcPr>
            <w:tcW w:type="dxa" w:w="1440"/>
          </w:tcPr>
          <w:p>
            <w:r/>
            <w:r>
              <w:t>Fail (blocked)</w:t>
            </w:r>
          </w:p>
        </w:tc>
        <w:tc>
          <w:tcPr>
            <w:tcW w:type="dxa" w:w="1440"/>
          </w:tcPr>
          <w:p>
            <w:r/>
            <w:r>
              <w:t>0.229</w:t>
            </w:r>
          </w:p>
        </w:tc>
      </w:tr>
      <w:tr>
        <w:tc>
          <w:tcPr>
            <w:tcW w:type="dxa" w:w="1440"/>
          </w:tcPr>
          <w:p>
            <w:r/>
            <w:r>
              <w:t>Kourami</w:t>
            </w:r>
          </w:p>
        </w:tc>
        <w:tc>
          <w:tcPr>
            <w:tcW w:type="dxa" w:w="1440"/>
          </w:tcPr>
          <w:p>
            <w:r/>
            <w:r>
              <w:t>Read-coverage proxy</w:t>
            </w:r>
          </w:p>
        </w:tc>
        <w:tc>
          <w:tcPr>
            <w:tcW w:type="dxa" w:w="1440"/>
          </w:tcPr>
          <w:p>
            <w:r/>
            <w:r>
              <w:t>0.8313</w:t>
            </w:r>
          </w:p>
        </w:tc>
        <w:tc>
          <w:tcPr>
            <w:tcW w:type="dxa" w:w="1440"/>
          </w:tcPr>
          <w:p>
            <w:r/>
            <w:r>
              <w:t>0.8489</w:t>
            </w:r>
          </w:p>
        </w:tc>
        <w:tc>
          <w:tcPr>
            <w:tcW w:type="dxa" w:w="1440"/>
          </w:tcPr>
          <w:p>
            <w:r/>
            <w:r>
              <w:t>Fail (blocked)</w:t>
            </w:r>
          </w:p>
        </w:tc>
        <w:tc>
          <w:tcPr>
            <w:tcW w:type="dxa" w:w="1440"/>
          </w:tcPr>
          <w:p>
            <w:r/>
            <w:r>
              <w:t>0.141</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0.155</w:t>
            </w:r>
          </w:p>
        </w:tc>
      </w:tr>
    </w:tbl>
    <w:p/>
    <w:p>
      <w:r>
        <w:rPr>
          <w:i/>
        </w:rPr>
        <w:t>Guardrail threshold: Brier and ECE both &lt; 0.35 required for confidence boost. Blocked tools: effective_confidence = base_reliability, giving final_weight = base_reliability.</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2478"/>
            <wp:docPr id="6" name="Picture 6"/>
            <wp:cNvGraphicFramePr>
              <a:graphicFrameLocks noChangeAspect="1"/>
            </wp:cNvGraphicFramePr>
            <a:graphic>
              <a:graphicData uri="http://schemas.openxmlformats.org/drawingml/2006/picture">
                <pic:pic>
                  <pic:nvPicPr>
                    <pic:cNvPr id="0" name="figure_4_confidence_calibration.png"/>
                    <pic:cNvPicPr/>
                  </pic:nvPicPr>
                  <pic:blipFill>
                    <a:blip r:embed="rId14"/>
                    <a:stretch>
                      <a:fillRect/>
                    </a:stretch>
                  </pic:blipFill>
                  <pic:spPr>
                    <a:xfrm>
                      <a:off x="0" y="0"/>
                      <a:ext cx="5486400" cy="2542478"/>
                    </a:xfrm>
                    <a:prstGeom prst="rect"/>
                  </pic:spPr>
                </pic:pic>
              </a:graphicData>
            </a:graphic>
          </wp:inline>
        </w:drawing>
      </w:r>
    </w:p>
    <w:p>
      <w:r>
        <w:rPr>
          <w:b/>
        </w:rPr>
        <w:t>Supplementary Figure S8.</w:t>
      </w:r>
      <w:r>
        <w:t xml:space="preserve"> </w:t>
      </w:r>
      <w:r>
        <w:rPr>
          <w:i/>
        </w:rPr>
        <w:t>Abstention–accuracy tradeoff curves across modalities.</w:t>
      </w:r>
      <w:r>
        <w:t xml:space="preserve"> Line plots show overall correct-call rate (y-axis) against callable rate (x-axis) as the WeightedConsensus support threshold varies from 0 (always call) to 1 (always abstain), for WGS, WES, and RNA-seq benchmarks. Each point represents one threshold setting; the operating point selected out of fold under nested cross-validation is marked. This abstention behaviour is a secondary reliability property of the weighting-only consensus and is not part of the primary Champion-Challenger accuracy comparison. The WES and RNA-seq curves show a clear tradeoff: accepting a modest callable-rate reduction (from 1.0 to 0.93 in WES, 0.96 in RNA-seq) yields accuracy-among-callable estimates above MajorityVote accuracy. </w:t>
      </w:r>
      <w:r>
        <w:rPr>
          <w:i/>
        </w:rPr>
        <w:t>(Source: `figures_final/figure_5_abstention_tradeoff`)</w:t>
      </w:r>
    </w:p>
    <w:p>
      <w:r>
        <w:rPr>
          <w:b/>
        </w:rPr>
        <w:t>Figure 6.</w:t>
      </w:r>
      <w:r>
        <w:t xml:space="preserve"> </w:t>
      </w:r>
      <w:r>
        <w:rPr>
          <w:i/>
        </w:rPr>
        <w:t>Benchmark-derived reliability weights by tool and modality.</w:t>
      </w:r>
      <w:r>
        <w:t xml:space="preserve"> Horizontal bar charts show the final blended weight (</w:t>
      </w:r>
      <w:r>
        <w:rPr>
          <w:rFonts w:ascii="Consolas" w:hAnsi="Consolas"/>
        </w:rPr>
        <w:t>final_weight = 0.7 × base_reliability + 0.3 × effective_confidence</w:t>
      </w:r>
      <w:r>
        <w:t>) for each tool in the WGS, WES, and RNA-seq modalities. Tool-level weights are shown separately for HLA-A, HLA-B, and HLA-C where gene-level variation exists. Guardrail status is encoded by bar fill (solid = confidence boost applied; hatched = blocked). OptiType dominates WGS weighting; HLA-HD and OptiType lead in RNA-seq; POLYSOLVER and OptiType lead in WES. ArcasHLA's near-zero WGS weight and near-average RNA-seq weight illustrate why modality-specific weight learning is essential.</w:t>
      </w:r>
    </w:p>
    <w:p>
      <w:pPr>
        <w:jc w:val="center"/>
      </w:pPr>
      <w:r>
        <w:drawing>
          <wp:inline xmlns:a="http://schemas.openxmlformats.org/drawingml/2006/main" xmlns:pic="http://schemas.openxmlformats.org/drawingml/2006/picture">
            <wp:extent cx="5486400" cy="2348058"/>
            <wp:docPr id="7" name="Picture 7"/>
            <wp:cNvGraphicFramePr>
              <a:graphicFrameLocks noChangeAspect="1"/>
            </wp:cNvGraphicFramePr>
            <a:graphic>
              <a:graphicData uri="http://schemas.openxmlformats.org/drawingml/2006/picture">
                <pic:pic>
                  <pic:nvPicPr>
                    <pic:cNvPr id="0" name="figure_7_confidence_weights.png"/>
                    <pic:cNvPicPr/>
                  </pic:nvPicPr>
                  <pic:blipFill>
                    <a:blip r:embed="rId15"/>
                    <a:stretch>
                      <a:fillRect/>
                    </a:stretch>
                  </pic:blipFill>
                  <pic:spPr>
                    <a:xfrm>
                      <a:off x="0" y="0"/>
                      <a:ext cx="5486400" cy="2348058"/>
                    </a:xfrm>
                    <a:prstGeom prst="rect"/>
                  </pic:spPr>
                </pic:pic>
              </a:graphicData>
            </a:graphic>
          </wp:inline>
        </w:drawing>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7</w:t>
      </w:r>
      <w:r>
        <w:t xml:space="preserve"> and visualised in </w:t>
      </w:r>
      <w:r>
        <w:rPr>
          <w:b/>
        </w:rPr>
        <w:t>Supplementary Figure S3</w:t>
      </w:r>
      <w:r>
        <w:t>.</w:t>
      </w:r>
    </w:p>
    <w:p>
      <w:r>
        <w:rPr>
          <w:b/>
        </w:rPr>
        <w:t>Table 7.</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S9</w:t>
      </w:r>
      <w:r>
        <w:t xml:space="preserve"> (commonness) and </w:t>
      </w:r>
      <w:r>
        <w:rPr>
          <w:b/>
        </w:rPr>
        <w:t>Supplementary Table S10</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8</w:t>
      </w:r>
      <w:r>
        <w:t xml:space="preserve">, </w:t>
      </w:r>
      <w:r>
        <w:rPr>
          <w:b/>
        </w:rPr>
        <w:t>Figure 11A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Figure 11B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32:01)—and the forthcoming HPRC v2 release (200+ samples) is expected to close most of the residual HLA-A gap. Even at current scale, the agreement-gated pipeline is accurate enough to serve as silver-standard truth for benchmarking ChampHLA on cohorts lacking gold-standard HLA typing, extending the framework beyond the public 1000 Genomes panel.</w:t>
      </w:r>
    </w:p>
    <w:p>
      <w:r>
        <w:rPr>
          <w:b/>
        </w:rPr>
        <w:t>Table 8.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r>
        <w:rPr>
          <w:b/>
        </w:rPr>
        <w:t>Figure 11.</w:t>
      </w:r>
      <w:r>
        <w:t xml:space="preserve"> </w:t>
      </w:r>
      <w:r>
        <w:rPr>
          <w:i/>
        </w:rPr>
        <w:t>Orthogonal silver-standard truth validation against 1000 Genomes gold truth.</w:t>
      </w:r>
      <w:r>
        <w:t xml:space="preserve"> (A) Allele-level concordance per locus (HLA-A, -B, -C) and overall, at two-field and G-group resolution, for a Locityper genotyping database built from the HPRC v1.1 Minigraph-Cactus pangenome versus a control database built from IPD-IMGT/HLA alleles, on 30 samples (shared depth profile) and a three-sample per-sample-depth pilot. The HPRC pangenome database nearly doubles concordance (overall two-field 0.811 versus 0.461 at 30 samples; 0.944 versus 0.556 in the pilot). (B) Confidence calibration: concordance as a function of Locityper genotype-quality threshold for the 30-sample run. Concordance increases monotonically with quality under the HPRC database (0.811→0.905) but is uninformative under the IMGT-allele database (0.461→0.432), demonstrating that genotype confidence is well-calibrated only with an adequate pangenome reference and motivating the agreement-gated silver-truth design.</w:t>
      </w:r>
    </w:p>
    <w:p>
      <w:pPr>
        <w:jc w:val="center"/>
      </w:pPr>
      <w:r>
        <w:drawing>
          <wp:inline xmlns:a="http://schemas.openxmlformats.org/drawingml/2006/main" xmlns:pic="http://schemas.openxmlformats.org/drawingml/2006/picture">
            <wp:extent cx="5486400" cy="2262513"/>
            <wp:docPr id="8" name="Picture 8"/>
            <wp:cNvGraphicFramePr>
              <a:graphicFrameLocks noChangeAspect="1"/>
            </wp:cNvGraphicFramePr>
            <a:graphic>
              <a:graphicData uri="http://schemas.openxmlformats.org/drawingml/2006/picture">
                <pic:pic>
                  <pic:nvPicPr>
                    <pic:cNvPr id="0" name="figure_12_silver_truth_hprc.png"/>
                    <pic:cNvPicPr/>
                  </pic:nvPicPr>
                  <pic:blipFill>
                    <a:blip r:embed="rId16"/>
                    <a:stretch>
                      <a:fillRect/>
                    </a:stretch>
                  </pic:blipFill>
                  <pic:spPr>
                    <a:xfrm>
                      <a:off x="0" y="0"/>
                      <a:ext cx="5486400" cy="2262513"/>
                    </a:xfrm>
                    <a:prstGeom prst="rect"/>
                  </pic:spPr>
                </pic:pic>
              </a:graphicData>
            </a:graphic>
          </wp:inline>
        </w:drawing>
      </w:r>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8</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w:t>
      </w:r>
    </w:p>
    <w:p>
      <w:r>
        <w:t xml:space="preserve">Adding WGS as a third modality did not improve the bimodal headline: TrimodalMajorityVote achieved </w:t>
      </w:r>
      <w:r>
        <w:rPr>
          <w:b/>
        </w:rPr>
        <w:t>0.9591</w:t>
      </w:r>
      <w:r>
        <w:t xml:space="preserve"> overall correct-call rate (callable rate=0.9906; </w:t>
      </w:r>
      <w:r>
        <w:rPr>
          <w:b/>
        </w:rPr>
        <w:t>Figure 9</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8.</w:t>
      </w:r>
      <w:r>
        <w:t xml:space="preserve"> </w:t>
      </w:r>
      <w:r>
        <w:rPr>
          <w:i/>
        </w:rPr>
        <w:t>Bimodal WES+RNA per-gene robustness analysis (n=106 matched subjects; supplementary robustness benchmark).</w:t>
      </w:r>
      <w:r>
        <w:t xml:space="preserve"> Grouped bar charts show overall correct-call rate at HLA-A, HLA-B, and HLA-C for six methods: unimodal WES MajorityVote and WeightedConsensus, unimodal RNA-seq MajorityVote and WeightedConsensus, and bimodal WES+RNA MajorityVote and WeightedConsensus (bold outlines). Error bars represent Wilson score 95% confidence intervals. Bimodal MajorityVote exceeds all unimodal baselines at every gene, confirming that WES and RNA-seq provide complementary typing evidence. BimodalWeightedConsensus trades a small callable-rate reduction at HLA-C for marginal accuracy gains among callable loci.</w:t>
      </w:r>
    </w:p>
    <w:p>
      <w:pPr>
        <w:jc w:val="center"/>
      </w:pPr>
      <w:r>
        <w:drawing>
          <wp:inline xmlns:a="http://schemas.openxmlformats.org/drawingml/2006/main" xmlns:pic="http://schemas.openxmlformats.org/drawingml/2006/picture">
            <wp:extent cx="5486400" cy="2325684"/>
            <wp:docPr id="9" name="Picture 9"/>
            <wp:cNvGraphicFramePr>
              <a:graphicFrameLocks noChangeAspect="1"/>
            </wp:cNvGraphicFramePr>
            <a:graphic>
              <a:graphicData uri="http://schemas.openxmlformats.org/drawingml/2006/picture">
                <pic:pic>
                  <pic:nvPicPr>
                    <pic:cNvPr id="0" name="figure_09_bimodal_per_gene.png"/>
                    <pic:cNvPicPr/>
                  </pic:nvPicPr>
                  <pic:blipFill>
                    <a:blip r:embed="rId17"/>
                    <a:stretch>
                      <a:fillRect/>
                    </a:stretch>
                  </pic:blipFill>
                  <pic:spPr>
                    <a:xfrm>
                      <a:off x="0" y="0"/>
                      <a:ext cx="5486400" cy="2325684"/>
                    </a:xfrm>
                    <a:prstGeom prst="rect"/>
                  </pic:spPr>
                </pic:pic>
              </a:graphicData>
            </a:graphic>
          </wp:inline>
        </w:drawing>
      </w:r>
    </w:p>
    <w:p>
      <w:r>
        <w:rPr>
          <w:b/>
        </w:rPr>
        <w:t>Figure 9.</w:t>
      </w:r>
      <w:r>
        <w:t xml:space="preserve"> </w:t>
      </w:r>
      <w:r>
        <w:rPr>
          <w:i/>
        </w:rPr>
        <w:t>Trimodal WGS+WES+RNA robustness analysis (n=106 matched subjects; supplementary robustness benchmark).</w:t>
      </w:r>
      <w:r>
        <w:t xml:space="preserve"> Two-panel comparison of trimodal and bimodal ensemble methods. Panel A: accuracy among callable loci for bimodal MajorityVote, bimodal WeightedConsensus, trimodal MajorityVote, and trimodal WeightedConsensus, with exact percentage annotations and Wilson score 95% confidence intervals. Panel B: callable rate (fraction of loci with a call) for the same four methods, showing the coverage cost of adding WGS. Hatched bars indicate trimodal methods. Adding WGS as a third modality does not improve over bimodal WES+RNA and reduces overall accuracy slightly, confirming that short-read WGS adds noise rather than signal to an already-strong WES+RNA ensemble. This finding is specific to the current benchmark cohort and tool set; it does not constitute a general recommendation to exclude WGS from all HLA typing workflows, but identifies WGS single-tool quality improvement as the most impactful open problem for WGS-equipped HLA typing pipelines.</w:t>
      </w:r>
    </w:p>
    <w:p>
      <w:pPr>
        <w:jc w:val="center"/>
      </w:pPr>
      <w:r>
        <w:drawing>
          <wp:inline xmlns:a="http://schemas.openxmlformats.org/drawingml/2006/main" xmlns:pic="http://schemas.openxmlformats.org/drawingml/2006/picture">
            <wp:extent cx="5486400" cy="2698386"/>
            <wp:docPr id="10" name="Picture 10"/>
            <wp:cNvGraphicFramePr>
              <a:graphicFrameLocks noChangeAspect="1"/>
            </wp:cNvGraphicFramePr>
            <a:graphic>
              <a:graphicData uri="http://schemas.openxmlformats.org/drawingml/2006/picture">
                <pic:pic>
                  <pic:nvPicPr>
                    <pic:cNvPr id="0" name="figure_10_trimodal_comparison.png"/>
                    <pic:cNvPicPr/>
                  </pic:nvPicPr>
                  <pic:blipFill>
                    <a:blip r:embed="rId18"/>
                    <a:stretch>
                      <a:fillRect/>
                    </a:stretch>
                  </pic:blipFill>
                  <pic:spPr>
                    <a:xfrm>
                      <a:off x="0" y="0"/>
                      <a:ext cx="5486400" cy="2698386"/>
                    </a:xfrm>
                    <a:prstGeom prst="rect"/>
                  </pic:spPr>
                </pic:pic>
              </a:graphicData>
            </a:graphic>
          </wp:inline>
        </w:drawing>
      </w:r>
    </w:p>
    <w:p>
      <w:r>
        <w:rPr>
          <w:b/>
        </w:rPr>
        <w:t>Figure 10.</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w:t>
      </w:r>
      <w:r>
        <w:rPr>
          <w:rFonts w:ascii="Consolas" w:hAnsi="Consolas"/>
        </w:rPr>
        <w:t>challenger_override</w:t>
      </w:r>
      <w:r>
        <w:t xml:space="preserve">, </w:t>
      </w:r>
      <w:r>
        <w:rPr>
          <w:rFonts w:ascii="Consolas" w:hAnsi="Consolas"/>
        </w:rPr>
        <w:t>champion_retained</w:t>
      </w:r>
      <w:r>
        <w:t xml:space="preserve">, </w:t>
      </w:r>
      <w:r>
        <w:rPr>
          <w:rFonts w:ascii="Consolas" w:hAnsi="Consolas"/>
        </w:rPr>
        <w:t>champion_missing</w:t>
      </w:r>
      <w:r>
        <w:t xml:space="preserve">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11" name="Picture 11"/>
            <wp:cNvGraphicFramePr>
              <a:graphicFrameLocks noChangeAspect="1"/>
            </wp:cNvGraphicFramePr>
            <a:graphic>
              <a:graphicData uri="http://schemas.openxmlformats.org/drawingml/2006/picture">
                <pic:pic>
                  <pic:nvPicPr>
                    <pic:cNvPr id="0" name="figure_11_champion_challenger_combined.png"/>
                    <pic:cNvPicPr/>
                  </pic:nvPicPr>
                  <pic:blipFill>
                    <a:blip r:embed="rId19"/>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(Figure 12).</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(Figure 12C)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9</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9.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9):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r>
        <w:rPr>
          <w:b/>
        </w:rPr>
        <w:t>Figure 12.</w:t>
      </w:r>
      <w:r>
        <w:t xml:space="preserve"> </w:t>
      </w:r>
      <w:r>
        <w:rPr>
          <w:i/>
        </w:rPr>
        <w:t>External validation on an independent non-1000G cohort (NCI-60).</w:t>
      </w:r>
      <w:r>
        <w:t xml:space="preserve"> The frozen 1000G-derived Champion-Challenger policy is applied without re-learning to NCI-60 RNA-seq and WES, scored against Adams (2005) sequence-based typing (HLA-A/-B/-C, two-field). </w:t>
      </w:r>
      <w:r>
        <w:rPr>
          <w:b/>
        </w:rPr>
        <w:t>(A)</w:t>
      </w:r>
      <w:r>
        <w:t xml:space="preserve"> Overall correct-call rate with Wilson 95% confidence intervals for the best single tool, majority voting, and ChampHLA, by modality (RNA-seq </w:t>
      </w:r>
      <w:r>
        <w:rPr>
          <w:i/>
        </w:rPr>
        <w:t>n</w:t>
      </w:r>
      <w:r>
        <w:t xml:space="preserve">=42, WES </w:t>
      </w:r>
      <w:r>
        <w:rPr>
          <w:i/>
        </w:rPr>
        <w:t>n</w:t>
      </w:r>
      <w:r>
        <w:t xml:space="preserve">=42); on WES ChampHLA (0.842) matches majority voting and exceeds OptiType (0.817), and on RNA-seq ChampHLA (0.793) tracks just below majority voting (0.817) with a predominantly corrective gate (15 of 20 overrides corrective). </w:t>
      </w:r>
      <w:r>
        <w:rPr>
          <w:b/>
        </w:rPr>
        <w:t>(B)</w:t>
      </w:r>
      <w:r>
        <w:t xml:space="preserve"> Per-locus correct-call rate (HLA-A/-B/-C) for ChampHLA and majority voting in each modality. </w:t>
      </w:r>
      <w:r>
        <w:rPr>
          <w:b/>
        </w:rPr>
        <w:t>(C)</w:t>
      </w:r>
      <w:r>
        <w:t xml:space="preserve"> WES override-gate behaviour at the deployed support=0.35/margin=0.00 as the supporting-tools floor varies: the deployed floor of ≥1 tool gives 0.842 (three corrective, one harmful, three neutral overrides, equal to majority voting); raising it to ≥2 removes all harmful/neutral overrides and yields the optimum (0.854, three corrective / zero harmful, above the majority-voting reference 0.842); ≥3 suppresses all overrides (0.817, equal to OptiType).</w:t>
      </w:r>
    </w:p>
    <w:p>
      <w:pPr>
        <w:jc w:val="center"/>
      </w:pPr>
      <w:r>
        <w:drawing>
          <wp:inline xmlns:a="http://schemas.openxmlformats.org/drawingml/2006/main" xmlns:pic="http://schemas.openxmlformats.org/drawingml/2006/picture">
            <wp:extent cx="5486400" cy="1803806"/>
            <wp:docPr id="12" name="Picture 12"/>
            <wp:cNvGraphicFramePr>
              <a:graphicFrameLocks noChangeAspect="1"/>
            </wp:cNvGraphicFramePr>
            <a:graphic>
              <a:graphicData uri="http://schemas.openxmlformats.org/drawingml/2006/picture">
                <pic:pic>
                  <pic:nvPicPr>
                    <pic:cNvPr id="0" name="figure_13_external_validation_nci60.png"/>
                    <pic:cNvPicPr/>
                  </pic:nvPicPr>
                  <pic:blipFill>
                    <a:blip r:embed="rId20"/>
                    <a:stretch>
                      <a:fillRect/>
                    </a:stretch>
                  </pic:blipFill>
                  <pic:spPr>
                    <a:xfrm>
                      <a:off x="0" y="0"/>
                      <a:ext cx="5486400" cy="1803806"/>
                    </a:xfrm>
                    <a:prstGeom prst="rect"/>
                  </pic:spPr>
                </pic:pic>
              </a:graphicData>
            </a:graphic>
          </wp:inline>
        </w:drawing>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10</w:t>
      </w:r>
      <w:r>
        <w:t xml:space="preserve">; </w:t>
      </w:r>
      <w:r>
        <w:rPr>
          <w:b/>
        </w:rPr>
        <w:t>Figure 13A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13B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10.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13.</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13" name="Picture 13"/>
            <wp:cNvGraphicFramePr>
              <a:graphicFrameLocks noChangeAspect="1"/>
            </wp:cNvGraphicFramePr>
            <a:graphic>
              <a:graphicData uri="http://schemas.openxmlformats.org/drawingml/2006/picture">
                <pic:pic>
                  <pic:nvPicPr>
                    <pic:cNvPr id="0" name="figure_14_flow_hla_a2.png"/>
                    <pic:cNvPicPr/>
                  </pic:nvPicPr>
                  <pic:blipFill>
                    <a:blip r:embed="rId21"/>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Section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Figure 7</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Figure 7</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Clinical WES Typing with High-Confidence Output</w:t>
      </w:r>
    </w:p>
    <w:p>
      <w:r>
        <w:t xml:space="preserve">For clinical or research settings where reliable allele calls are required and false positives (harmful Champion-Challenger overrides) are particularly consequential, we recommend a more conservative override policy—raising </w:t>
      </w:r>
      <w:r>
        <w:rPr>
          <w:rFonts w:ascii="Consolas" w:hAnsi="Consolas"/>
        </w:rPr>
        <w:t>min_challenger_support_fraction</w:t>
      </w:r>
      <w:r>
        <w:t xml:space="preserve"> and </w:t>
      </w:r>
      <w:r>
        <w:rPr>
          <w:rFonts w:ascii="Consolas" w:hAnsi="Consolas"/>
        </w:rPr>
        <w:t>min_challenger_margin</w:t>
      </w:r>
      <w:r>
        <w:t xml:space="preserve"> above the nested-CV-selected default and requiring at least two supporting tools. The full in-sample sweep surface (</w:t>
      </w:r>
      <w:r>
        <w:rPr>
          <w:rFonts w:ascii="Consolas" w:hAnsi="Consolas"/>
        </w:rPr>
        <w:t>wes_champion_override_sweep.tsv</w:t>
      </w:r>
      <w:r>
        <w:t>) is provided as a tuning aid for choosing an institution-specific operating point (it is a tuning aid, not a performance estimate).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 A practical consequence is that the effective RNA-seq panel is smaller than eight tools: Seq2HLA (29/107 callable) and SpecHLA (76.2% callable at 0.035 accuracy) contribute little to RNA-seq typing, and the RNA-seq Champion-Challenger accuracy is reported from a SpecHLA-inclusive scoring run to benchmark against the largest possible panel—default production RNA-seq typing relies on the OptiType/HLA-HD/ArcasHLA/T1K core. The full eight-tool panel is realised on DNA (WGS/WES) inputs.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Several of the confirmatory analyses are deliberately small and are presented as proof-of-concept rather than powered estimates: the orthogonal flow-cytometry validation covers 15 informative donors (with two data-integrity catches), the silver-standard-truth concordance is powered at 30 samples (with a three-sample per-depth pilot), and the germline external cohorts (GIAB trio, HG002, IHWG reference cells) comprise three to four samples each. Their value lies in orthogonality and mechanism—protein-level truth, assembly-based truth, and out-of-distribution transfer of the frozen policy—rather than in narrow confidence intervals; larger replications are planned.</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class II typing (clinically important for transplantation matching) is therefore a priority for the next benchmark cycle.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Section.</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both majority voting (0.3844; +11.7 percentage points; exact McNemar p&lt;0.0001) and the best single tool,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 The evidence-gated override itself rarely changed the outcome—it triggered no overrides on WGS and did not significantly alter overall accuracy in any modality—and is therefore best understood not as an accuracy booster but as an auditable, predominantly corrective safety mechanism that retains the champion's call unless the weighted ensemble evidence is simultaneously broad, marginal, and unambiguous. Likewise, the calibration guardrail is a soundness contribution—it prevents an uninformative confidence proxy from distorting the weights—rather than a driver of the reported accuracy.</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 These findings also delineate when each part of ChampHLA matters. Where paired WES and RNA-seq are available, bimodal consensus is the recommended configuration and Champion-Challenger's role is to deliver calibration-guarded, auditable calls that match majority voting without regression; where only WGS is available—as in many biobank, archival, or DNA-only cohorts—champion routing provides a significant and fully auditable accuracy gain over majority voting and the best single tool (Results §1). The contribution of ChampHLA is therefore the combination of a reproducible multi-tool substrate, a calibration-governed and auditable consensus that does no harm on concordant data and helps on discordant data, and an orthogonal silver-standard-truth capability for cohorts without gold-standard typing—rather than a uniformly higher accuracy than majority voting across all modalities.</w:t>
      </w:r>
    </w:p>
    <w:p>
      <w:pPr>
        <w:pStyle w:val="Heading1"/>
      </w:pPr>
      <w:r>
        <w:t>Supplementary Section (Outline)</w:t>
      </w:r>
    </w:p>
    <w:p>
      <w:pPr>
        <w:pStyle w:val="Heading2"/>
      </w:pPr>
      <w:r>
        <w:t>S1. Full HPC Usage Guide</w:t>
      </w:r>
    </w:p>
    <w:p>
      <w:r>
        <w:t xml:space="preserve">Detailed SLURM configuration with example </w:t>
      </w:r>
      <w:r>
        <w:rPr>
          <w:rFonts w:ascii="Consolas" w:hAnsi="Consolas"/>
        </w:rPr>
        <w:t>nextflow.config</w:t>
      </w:r>
      <w:r>
        <w:t xml:space="preserve"> overrides, Singularity SIF cache setup instructions, CSC Puhti-specific parameter file, resource sizing guide by cohort size and sequencing modality, and annotated example commands for WGS, WES, and RNA-seq cohort runs.</w:t>
      </w:r>
    </w:p>
    <w:p>
      <w:pPr>
        <w:pStyle w:val="Heading2"/>
      </w:pPr>
      <w:r>
        <w:t>S2. Full Local Computer Usage Guide</w:t>
      </w:r>
    </w:p>
    <w:p>
      <w:r>
        <w:t>Docker installation prerequisites, per-tool resource profiles (RAM, CPU, disk), recommended tool subsets for memory-constrained environments (&lt; 16 GB RAM, &lt; 32 GB RAM), Docker Compose alternative for multi-sample parallelisation, and expected runtimes on consumer hardware.</w:t>
      </w:r>
    </w:p>
    <w:p>
      <w:pPr>
        <w:pStyle w:val="Heading2"/>
      </w:pPr>
      <w:r>
        <w:t>S3. Full Scenario Walkthroughs</w:t>
      </w:r>
    </w:p>
    <w:p>
      <w:r>
        <w:t>Step-by-step walkthroughs for all four user scenarios described in the Recommendations section, including: (S3.1) SLURM WES cohort run with full eight-tool panel and Champion-Challenger output; (S3.2) local Docker RNA-seq run with HLA-HD+ArcasHLA+OptiType+T1K panel; (S3.3) samplesheet CSV preparation and validation; (S3.4) custom benchmark YAML configuration for a new cohort with user-provided truth data.</w:t>
      </w:r>
    </w:p>
    <w:p>
      <w:pPr>
        <w:pStyle w:val="Heading2"/>
      </w:pPr>
      <w:r>
        <w:t>S4. Extended Resolution and Ambiguity Analysis</w:t>
      </w:r>
    </w:p>
    <w:p>
      <w:r>
        <w:t>Extended per-locus resolution analysis for the WGS (n=137) and WES truth-backed benchmarks, including per-gene breakdowns of exact_3field, ambiguity_compatible, g_group, and p_group match rates for all eight tools. Supplements the summary findings in Results §5 (main text Table 7 and Supplementary Figure S3). Includes discussion of the 2014 truth-set ambiguity ceiling and its implications for interpreting apparent WGS accuracy gaps.</w:t>
      </w:r>
    </w:p>
    <w:p>
      <w:pPr>
        <w:pStyle w:val="Heading2"/>
      </w:pPr>
      <w:r>
        <w:t>S5. Extended Limitations and ChampHLA v2 Roadmap</w:t>
      </w:r>
    </w:p>
    <w:p>
      <w:r>
        <w:t>Full discussion of each limitation identified in the main text, including: training-split size and its effect on weight uncertainty; proxy-based confidence representation and its limitations relative to calibrated probability models; single-champion-per-gene design and its implications for population-stratified cohorts; truth-set ceiling at two-field resolution; and WGS tool-limitation as the central barrier to WGS ensemble accuracy improvement. Planned features for version 2.1 include: DRB1/DQB1 five-locus evaluation with complementary truth resources; per-population weight stratification; allele-frequency priors in override policy; isotonic regression confidence calibration to replace proxy-based Platt scaling; graph-aware and long-read backends via T1K; and integration hooks for neoantigen prediction and transplant compatibility scoring downstream tools.</w:t>
      </w:r>
    </w:p>
    <w:p>
      <w:pPr>
        <w:pStyle w:val="Heading2"/>
      </w:pPr>
      <w:r>
        <w:t>S6. Champion-Challenger Sweep Surface</w:t>
      </w:r>
    </w:p>
    <w:p>
      <w:r>
        <w:t>Description of the sweep TSV file format, how to read the accuracy-override tradeoff table, and guidance for selecting a custom operating point for institution-specific precision requirements.</w:t>
      </w:r>
    </w:p>
    <w:p>
      <w:pPr>
        <w:pStyle w:val="Heading2"/>
      </w:pPr>
      <w:r>
        <w:t>S7. FIMM Clinical HLA Typing and Loss of Heterozygosity Analysis</w:t>
      </w:r>
    </w:p>
    <w:p>
      <w:r>
        <w:t>#### S7.1 Cross-Modality HLA Concordance (FIMM AML/MDS Cohort)</w:t>
      </w:r>
    </w:p>
    <w:p>
      <w:r>
        <w:t>To assess ChampHLA's clinical utility on real-world cancer samples, we applied the pipeline to a cohort of AML and MDS patients from the Institute for Molecular Medicine Finland (FIMM). HLA typing was performed across three sequencing modalities—single-cell RNA-seq (scRNA-seq), bulk RNA-seq, and whole-exome sequencing (WES)—using ChampHLA tools available for each modality (OptiType, ArcasHLA, and SpecHLA for WES and bulk RNA; OptiType and ArcasHLA for scRNA). Cross-modality concordance rates were computed for each HLA gene (A, B, C) by comparing allele calls between all modality pairs (</w:t>
      </w:r>
      <w:r>
        <w:rPr>
          <w:b/>
        </w:rPr>
        <w:t>Figure S4</w:t>
      </w:r>
      <w:r>
        <w:t>).</w:t>
      </w:r>
    </w:p>
    <w:p>
      <w:r>
        <w:t>Concordance was highest between bulk RNA and WES across all three genes, consistent with the strong complementarity of these modalities observed in the 1000 Genomes benchmark (Results §7). scRNA vs WES concordance was lower, particularly at HLA-C, reflecting the reduced read depth at HLA loci typical of droplet-based scRNA-seq protocols. These cross-modality patterns are consistent with the benchmark finding that bimodal WES+RNA consensus produces the highest ensemble accuracy.</w:t>
      </w:r>
    </w:p>
    <w:p>
      <w:r>
        <w:t>#### S7.2 HLA Allele Dropout and Homozygosity QC</w:t>
      </w:r>
    </w:p>
    <w:p>
      <w:r>
        <w:t>Before interpreting allele-level results, we characterised allele dropout patterns across tools and modalities using the 1000 Genomes truth-backed benchmarks (</w:t>
      </w:r>
      <w:r>
        <w:rPr>
          <w:b/>
        </w:rPr>
        <w:t>Figure S5</w:t>
      </w:r>
      <w:r>
        <w:t>). The false duplicate rate (fraction of heterozygous truth loci called as homozygous) varied substantially by tool and modality. ArcasHLA exhibited the highest false duplicate rate in RNA-seq (1.0 at HLA-A and HLA-B), consistent with its tendency to call a single allele when the minor allele falls below its detection threshold under allele-specific expression. In contrast, WES showed near-zero false duplicate rates for most tools, supporting the use of WES-based allele calls as the primary input for downstream analyses such as LOH classification and HED computation.</w:t>
      </w:r>
    </w:p>
    <w:p>
      <w:r>
        <w:t>#### S7.3 FIMM WES LOH Candidate Classification</w:t>
      </w:r>
    </w:p>
    <w:p>
      <w:r>
        <w:t>Loss of heterozygosity (LOH) at HLA loci is a tumour immune escape mechanism in haematological malignancies. Using SpecHLA WES allele frequency outputs from the FIMM cohort, we classified each patient–gene pair into four categories (</w:t>
      </w:r>
      <w:r>
        <w:rPr>
          <w:b/>
        </w:rPr>
        <w:t>Figure S6</w:t>
      </w:r>
      <w:r>
        <w:t>): candidate LOH (major allele fraction ≥ 0.80 with ≥ 20 heterozygous variant sites), allelic imbalance requiring review, balanced heterozygous, or insufficient evidence. These classifications are exploratory: WES allele frequencies reflect exon-capture read depth at HLA loci rather than genome-wide allele balance, and thresholds calibrated for WGS may not transfer reliably to WES data. WGS confirmation is required before drawing clinical conclusions from candidate LOH events identified in WES data.</w:t>
      </w:r>
    </w:p>
    <w:p>
      <w:r>
        <w:t>#### S7.4 Overall Survival and HLA Evolutionary Divergence</w:t>
      </w:r>
    </w:p>
    <w:p>
      <w:r>
        <w:t>In a subset of 28 FIMM patients with available survival follow-up, we computed HLA Evolutionary Divergence (HED)—the mean Grantham amino acid distance at antigen-binding groove positions—from WES consensus allele calls at HLA-A, -B, and -C. Kaplan–Meier survival curves were stratified by diagnosis group (AML, MDS, MDS→AML) and by median HED total (</w:t>
      </w:r>
      <w:r>
        <w:rPr>
          <w:b/>
        </w:rPr>
        <w:t>Figure S7</w:t>
      </w:r>
      <w:r>
        <w:t>). The analysis is exploratory given the small cohort size (n ≈ 14 per arm for the HED split), which provides approximately 25% power to detect a hazard ratio of 2.0. Results should be interpreted as hypothesis-generating for future larger-scale studies investigating the relationship between HLA diversity and outcomes in haematological malignancies.</w:t>
      </w:r>
    </w:p>
    <w:p>
      <w:pPr>
        <w:pStyle w:val="Heading2"/>
      </w:pPr>
      <w:r>
        <w:t>S8. Abstention–Accuracy Tradeoff (weighting-only consensus)</w:t>
      </w:r>
    </w:p>
    <w:p>
      <w:r>
        <w:rPr>
          <w:b/>
        </w:rPr>
        <w:t>Supplementary Figure S8</w:t>
      </w:r>
      <w:r>
        <w:t xml:space="preserve"> shows the abstention–accuracy tradeoff for the weighting-only WeightedConsensus across modalities: as the support threshold rises, callable rate falls and accuracy among called loci rises. This is a secondary reliability property (a "defer rather than err" option) of the weighting scheme and is not part of the primary Champion-Challenger accuracy comparison; the overall correct-call rate of WeightedConsensus remains below majority voting in every modality (Table 3, ablation row).</w:t>
      </w:r>
    </w:p>
    <w:p>
      <w:pPr>
        <w:pStyle w:val="Heading2"/>
      </w:pPr>
      <w:r>
        <w:t>S9. Accuracy by Allele Commonness (CIWD 3.0.0)</w:t>
      </w:r>
    </w:p>
    <w:p>
      <w:r>
        <w:t xml:space="preserve">Held-out nested-CV correct-call rate stratified by the commonness of the rarer truth allele (CIWD 3.0.0; </w:t>
      </w:r>
      <w:r>
        <w:rPr>
          <w:rFonts w:ascii="Consolas" w:hAnsi="Consolas"/>
        </w:rPr>
        <w:t>analysis/nested_cv_champion_challenger/*/nested_cv_by_ciwd.tsv</w:t>
      </w:r>
      <w:r>
        <w:t>). The common stratum dominates every cohort; intermediate/well-documented strata carry too few loci (n ≤ 3) for inference and are omitted here. The WGS Champion-Challenger gain is retained within the common stratum, confirming it is not a rare-allele artefact.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Stratum</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common</w:t>
            </w:r>
          </w:p>
        </w:tc>
        <w:tc>
          <w:tcPr>
            <w:tcW w:type="dxa" w:w="1728"/>
          </w:tcPr>
          <w:p>
            <w:r/>
            <w:r>
              <w:t>397</w:t>
            </w:r>
          </w:p>
        </w:tc>
        <w:tc>
          <w:tcPr>
            <w:tcW w:type="dxa" w:w="1728"/>
          </w:tcPr>
          <w:p>
            <w:r/>
            <w:r>
              <w:t>0.390</w:t>
            </w:r>
          </w:p>
        </w:tc>
        <w:tc>
          <w:tcPr>
            <w:tcW w:type="dxa" w:w="1728"/>
          </w:tcPr>
          <w:p>
            <w:r/>
            <w:r>
              <w:rPr>
                <w:b/>
              </w:rPr>
              <w:t>0.504</w:t>
            </w:r>
          </w:p>
        </w:tc>
      </w:tr>
      <w:tr>
        <w:tc>
          <w:tcPr>
            <w:tcW w:type="dxa" w:w="1728"/>
          </w:tcPr>
          <w:p>
            <w:r/>
            <w:r>
              <w:t>WES</w:t>
            </w:r>
          </w:p>
        </w:tc>
        <w:tc>
          <w:tcPr>
            <w:tcW w:type="dxa" w:w="1728"/>
          </w:tcPr>
          <w:p>
            <w:r/>
            <w:r>
              <w:t>common</w:t>
            </w:r>
          </w:p>
        </w:tc>
        <w:tc>
          <w:tcPr>
            <w:tcW w:type="dxa" w:w="1728"/>
          </w:tcPr>
          <w:p>
            <w:r/>
            <w:r>
              <w:t>377</w:t>
            </w:r>
          </w:p>
        </w:tc>
        <w:tc>
          <w:tcPr>
            <w:tcW w:type="dxa" w:w="1728"/>
          </w:tcPr>
          <w:p>
            <w:r/>
            <w:r>
              <w:t>0.952</w:t>
            </w:r>
          </w:p>
        </w:tc>
        <w:tc>
          <w:tcPr>
            <w:tcW w:type="dxa" w:w="1728"/>
          </w:tcPr>
          <w:p>
            <w:r/>
            <w:r>
              <w:t>0.955</w:t>
            </w:r>
          </w:p>
        </w:tc>
      </w:tr>
      <w:tr>
        <w:tc>
          <w:tcPr>
            <w:tcW w:type="dxa" w:w="1728"/>
          </w:tcPr>
          <w:p>
            <w:r/>
            <w:r>
              <w:t>RNA-seq</w:t>
            </w:r>
          </w:p>
        </w:tc>
        <w:tc>
          <w:tcPr>
            <w:tcW w:type="dxa" w:w="1728"/>
          </w:tcPr>
          <w:p>
            <w:r/>
            <w:r>
              <w:t>common</w:t>
            </w:r>
          </w:p>
        </w:tc>
        <w:tc>
          <w:tcPr>
            <w:tcW w:type="dxa" w:w="1728"/>
          </w:tcPr>
          <w:p>
            <w:r/>
            <w:r>
              <w:t>312</w:t>
            </w:r>
          </w:p>
        </w:tc>
        <w:tc>
          <w:tcPr>
            <w:tcW w:type="dxa" w:w="1728"/>
          </w:tcPr>
          <w:p>
            <w:r/>
            <w:r>
              <w:t>0.955</w:t>
            </w:r>
          </w:p>
        </w:tc>
        <w:tc>
          <w:tcPr>
            <w:tcW w:type="dxa" w:w="1728"/>
          </w:tcPr>
          <w:p>
            <w:r/>
            <w:r>
              <w:t>0.946</w:t>
            </w:r>
          </w:p>
        </w:tc>
      </w:tr>
    </w:tbl>
    <w:p/>
    <w:p>
      <w:pPr>
        <w:pStyle w:val="Heading2"/>
      </w:pPr>
      <w:r>
        <w:t>S10. Accuracy by Continental Ancestry</w:t>
      </w:r>
    </w:p>
    <w:p>
      <w:r>
        <w:t xml:space="preserve">Held-out nested-CV correct-call rate stratified by 1000 Genomes superpopulation mapped to continental ancestry (EUR = CEU/FIN/GBR/TSI; AFR = YRI; </w:t>
      </w:r>
      <w:r>
        <w:rPr>
          <w:rFonts w:ascii="Consolas" w:hAnsi="Consolas"/>
        </w:rPr>
        <w:t>analysis/nested_cv_champion_challenger/*/nested_cv_by_ancestry.tsv</w:t>
      </w:r>
      <w:r>
        <w:t>). Champion-Challenger is greater than or equal to majority voting in every ancestry stratum and modality; the African-ancestry and unlabelled strata carry small n and wide intervals, so per-population weight learning (Limitations) remains a valuable extension.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Ancestry</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AFR</w:t>
            </w:r>
          </w:p>
        </w:tc>
        <w:tc>
          <w:tcPr>
            <w:tcW w:type="dxa" w:w="1728"/>
          </w:tcPr>
          <w:p>
            <w:r/>
            <w:r>
              <w:t>21</w:t>
            </w:r>
          </w:p>
        </w:tc>
        <w:tc>
          <w:tcPr>
            <w:tcW w:type="dxa" w:w="1728"/>
          </w:tcPr>
          <w:p>
            <w:r/>
            <w:r>
              <w:t>0.476</w:t>
            </w:r>
          </w:p>
        </w:tc>
        <w:tc>
          <w:tcPr>
            <w:tcW w:type="dxa" w:w="1728"/>
          </w:tcPr>
          <w:p>
            <w:r/>
            <w:r>
              <w:rPr>
                <w:b/>
              </w:rPr>
              <w:t>0.571</w:t>
            </w:r>
          </w:p>
        </w:tc>
      </w:tr>
      <w:tr>
        <w:tc>
          <w:tcPr>
            <w:tcW w:type="dxa" w:w="1728"/>
          </w:tcPr>
          <w:p>
            <w:r/>
            <w:r>
              <w:t>WGS</w:t>
            </w:r>
          </w:p>
        </w:tc>
        <w:tc>
          <w:tcPr>
            <w:tcW w:type="dxa" w:w="1728"/>
          </w:tcPr>
          <w:p>
            <w:r/>
            <w:r>
              <w:t>EUR</w:t>
            </w:r>
          </w:p>
        </w:tc>
        <w:tc>
          <w:tcPr>
            <w:tcW w:type="dxa" w:w="1728"/>
          </w:tcPr>
          <w:p>
            <w:r/>
            <w:r>
              <w:t>93</w:t>
            </w:r>
          </w:p>
        </w:tc>
        <w:tc>
          <w:tcPr>
            <w:tcW w:type="dxa" w:w="1728"/>
          </w:tcPr>
          <w:p>
            <w:r/>
            <w:r>
              <w:t>0.430</w:t>
            </w:r>
          </w:p>
        </w:tc>
        <w:tc>
          <w:tcPr>
            <w:tcW w:type="dxa" w:w="1728"/>
          </w:tcPr>
          <w:p>
            <w:r/>
            <w:r>
              <w:t>0.441</w:t>
            </w:r>
          </w:p>
        </w:tc>
      </w:tr>
      <w:tr>
        <w:tc>
          <w:tcPr>
            <w:tcW w:type="dxa" w:w="1728"/>
          </w:tcPr>
          <w:p>
            <w:r/>
            <w:r>
              <w:t>WGS</w:t>
            </w:r>
          </w:p>
        </w:tc>
        <w:tc>
          <w:tcPr>
            <w:tcW w:type="dxa" w:w="1728"/>
          </w:tcPr>
          <w:p>
            <w:r/>
            <w:r>
              <w:t>unlabelled</w:t>
            </w:r>
          </w:p>
        </w:tc>
        <w:tc>
          <w:tcPr>
            <w:tcW w:type="dxa" w:w="1728"/>
          </w:tcPr>
          <w:p>
            <w:r/>
            <w:r>
              <w:t>297</w:t>
            </w:r>
          </w:p>
        </w:tc>
        <w:tc>
          <w:tcPr>
            <w:tcW w:type="dxa" w:w="1728"/>
          </w:tcPr>
          <w:p>
            <w:r/>
            <w:r>
              <w:t>0.364</w:t>
            </w:r>
          </w:p>
        </w:tc>
        <w:tc>
          <w:tcPr>
            <w:tcW w:type="dxa" w:w="1728"/>
          </w:tcPr>
          <w:p>
            <w:r/>
            <w:r>
              <w:rPr>
                <w:b/>
              </w:rPr>
              <w:t>0.515</w:t>
            </w:r>
          </w:p>
        </w:tc>
      </w:tr>
      <w:tr>
        <w:tc>
          <w:tcPr>
            <w:tcW w:type="dxa" w:w="1728"/>
          </w:tcPr>
          <w:p>
            <w:r/>
            <w:r>
              <w:t>WES</w:t>
            </w:r>
          </w:p>
        </w:tc>
        <w:tc>
          <w:tcPr>
            <w:tcW w:type="dxa" w:w="1728"/>
          </w:tcPr>
          <w:p>
            <w:r/>
            <w:r>
              <w:t>AFR</w:t>
            </w:r>
          </w:p>
        </w:tc>
        <w:tc>
          <w:tcPr>
            <w:tcW w:type="dxa" w:w="1728"/>
          </w:tcPr>
          <w:p>
            <w:r/>
            <w:r>
              <w:t>21</w:t>
            </w:r>
          </w:p>
        </w:tc>
        <w:tc>
          <w:tcPr>
            <w:tcW w:type="dxa" w:w="1728"/>
          </w:tcPr>
          <w:p>
            <w:r/>
            <w:r>
              <w:t>0.905</w:t>
            </w:r>
          </w:p>
        </w:tc>
        <w:tc>
          <w:tcPr>
            <w:tcW w:type="dxa" w:w="1728"/>
          </w:tcPr>
          <w:p>
            <w:r/>
            <w:r>
              <w:rPr>
                <w:b/>
              </w:rPr>
              <w:t>1.000</w:t>
            </w:r>
          </w:p>
        </w:tc>
      </w:tr>
      <w:tr>
        <w:tc>
          <w:tcPr>
            <w:tcW w:type="dxa" w:w="1728"/>
          </w:tcPr>
          <w:p>
            <w:r/>
            <w:r>
              <w:t>WES</w:t>
            </w:r>
          </w:p>
        </w:tc>
        <w:tc>
          <w:tcPr>
            <w:tcW w:type="dxa" w:w="1728"/>
          </w:tcPr>
          <w:p>
            <w:r/>
            <w:r>
              <w:t>EUR</w:t>
            </w:r>
          </w:p>
        </w:tc>
        <w:tc>
          <w:tcPr>
            <w:tcW w:type="dxa" w:w="1728"/>
          </w:tcPr>
          <w:p>
            <w:r/>
            <w:r>
              <w:t>93</w:t>
            </w:r>
          </w:p>
        </w:tc>
        <w:tc>
          <w:tcPr>
            <w:tcW w:type="dxa" w:w="1728"/>
          </w:tcPr>
          <w:p>
            <w:r/>
            <w:r>
              <w:t>0.968</w:t>
            </w:r>
          </w:p>
        </w:tc>
        <w:tc>
          <w:tcPr>
            <w:tcW w:type="dxa" w:w="1728"/>
          </w:tcPr>
          <w:p>
            <w:r/>
            <w:r>
              <w:t>0.968</w:t>
            </w:r>
          </w:p>
        </w:tc>
      </w:tr>
      <w:tr>
        <w:tc>
          <w:tcPr>
            <w:tcW w:type="dxa" w:w="1728"/>
          </w:tcPr>
          <w:p>
            <w:r/>
            <w:r>
              <w:t>WES</w:t>
            </w:r>
          </w:p>
        </w:tc>
        <w:tc>
          <w:tcPr>
            <w:tcW w:type="dxa" w:w="1728"/>
          </w:tcPr>
          <w:p>
            <w:r/>
            <w:r>
              <w:t>unlabelled</w:t>
            </w:r>
          </w:p>
        </w:tc>
        <w:tc>
          <w:tcPr>
            <w:tcW w:type="dxa" w:w="1728"/>
          </w:tcPr>
          <w:p>
            <w:r/>
            <w:r>
              <w:t>276</w:t>
            </w:r>
          </w:p>
        </w:tc>
        <w:tc>
          <w:tcPr>
            <w:tcW w:type="dxa" w:w="1728"/>
          </w:tcPr>
          <w:p>
            <w:r/>
            <w:r>
              <w:t>0.928</w:t>
            </w:r>
          </w:p>
        </w:tc>
        <w:tc>
          <w:tcPr>
            <w:tcW w:type="dxa" w:w="1728"/>
          </w:tcPr>
          <w:p>
            <w:r/>
            <w:r>
              <w:t>0.931</w:t>
            </w:r>
          </w:p>
        </w:tc>
      </w:tr>
      <w:tr>
        <w:tc>
          <w:tcPr>
            <w:tcW w:type="dxa" w:w="1728"/>
          </w:tcPr>
          <w:p>
            <w:r/>
            <w:r>
              <w:t>RNA-seq</w:t>
            </w:r>
          </w:p>
        </w:tc>
        <w:tc>
          <w:tcPr>
            <w:tcW w:type="dxa" w:w="1728"/>
          </w:tcPr>
          <w:p>
            <w:r/>
            <w:r>
              <w:t>AFR</w:t>
            </w:r>
          </w:p>
        </w:tc>
        <w:tc>
          <w:tcPr>
            <w:tcW w:type="dxa" w:w="1728"/>
          </w:tcPr>
          <w:p>
            <w:r/>
            <w:r>
              <w:t>21</w:t>
            </w:r>
          </w:p>
        </w:tc>
        <w:tc>
          <w:tcPr>
            <w:tcW w:type="dxa" w:w="1728"/>
          </w:tcPr>
          <w:p>
            <w:r/>
            <w:r>
              <w:t>0.952</w:t>
            </w:r>
          </w:p>
        </w:tc>
        <w:tc>
          <w:tcPr>
            <w:tcW w:type="dxa" w:w="1728"/>
          </w:tcPr>
          <w:p>
            <w:r/>
            <w:r>
              <w:t>0.905</w:t>
            </w:r>
          </w:p>
        </w:tc>
      </w:tr>
      <w:tr>
        <w:tc>
          <w:tcPr>
            <w:tcW w:type="dxa" w:w="1728"/>
          </w:tcPr>
          <w:p>
            <w:r/>
            <w:r>
              <w:t>RNA-seq</w:t>
            </w:r>
          </w:p>
        </w:tc>
        <w:tc>
          <w:tcPr>
            <w:tcW w:type="dxa" w:w="1728"/>
          </w:tcPr>
          <w:p>
            <w:r/>
            <w:r>
              <w:t>EUR</w:t>
            </w:r>
          </w:p>
        </w:tc>
        <w:tc>
          <w:tcPr>
            <w:tcW w:type="dxa" w:w="1728"/>
          </w:tcPr>
          <w:p>
            <w:r/>
            <w:r>
              <w:t>93</w:t>
            </w:r>
          </w:p>
        </w:tc>
        <w:tc>
          <w:tcPr>
            <w:tcW w:type="dxa" w:w="1728"/>
          </w:tcPr>
          <w:p>
            <w:r/>
            <w:r>
              <w:t>0.979</w:t>
            </w:r>
          </w:p>
        </w:tc>
        <w:tc>
          <w:tcPr>
            <w:tcW w:type="dxa" w:w="1728"/>
          </w:tcPr>
          <w:p>
            <w:r/>
            <w:r>
              <w:t>0.979</w:t>
            </w:r>
          </w:p>
        </w:tc>
      </w:tr>
      <w:tr>
        <w:tc>
          <w:tcPr>
            <w:tcW w:type="dxa" w:w="1728"/>
          </w:tcPr>
          <w:p>
            <w:r/>
            <w:r>
              <w:t>RNA-seq</w:t>
            </w:r>
          </w:p>
        </w:tc>
        <w:tc>
          <w:tcPr>
            <w:tcW w:type="dxa" w:w="1728"/>
          </w:tcPr>
          <w:p>
            <w:r/>
            <w:r>
              <w:t>unlabelled</w:t>
            </w:r>
          </w:p>
        </w:tc>
        <w:tc>
          <w:tcPr>
            <w:tcW w:type="dxa" w:w="1728"/>
          </w:tcPr>
          <w:p>
            <w:r/>
            <w:r>
              <w:t>207</w:t>
            </w:r>
          </w:p>
        </w:tc>
        <w:tc>
          <w:tcPr>
            <w:tcW w:type="dxa" w:w="1728"/>
          </w:tcPr>
          <w:p>
            <w:r/>
            <w:r>
              <w:t>0.937</w:t>
            </w:r>
          </w:p>
        </w:tc>
        <w:tc>
          <w:tcPr>
            <w:tcW w:type="dxa" w:w="1728"/>
          </w:tcPr>
          <w:p>
            <w:r/>
            <w:r>
              <w:t>0.928</w:t>
            </w:r>
          </w:p>
        </w:tc>
      </w:tr>
    </w:tbl>
    <w:p/>
    <w:p>
      <w:pPr>
        <w:pStyle w:val="Heading2"/>
      </w:pPr>
      <w:r>
        <w:t>S11. Attempted External-Validation Cohorts Excluded on Integrity Grounds</w:t>
      </w:r>
    </w:p>
    <w:p>
      <w:r>
        <w:t xml:space="preserve">Beyond the external cohorts reported in Results §8 (NCI-60, GIAB trio, HG002, IHWG), we scouted five further non-1000G candidates and rejected each after Phase-0 provenance verification, before any benchmarking. We report them here because the exclusion criteria—experimental (not in-silico) per-sample truth, independence from the 1000 Genomes calibration cohort, and matched open short reads—are the same standards that make an external validation meaningful, and because published per-sample HLA tables are frequently in-silico tool output rather than orthogonal truth (verified twice here). Per-cohort Phase-0 records are in </w:t>
      </w:r>
      <w:r>
        <w:rPr>
          <w:rFonts w:ascii="Consolas" w:hAnsi="Consolas"/>
        </w:rPr>
        <w:t>analysis/{swehla,pcrsbt,conshla,getrm}_benchmark/PHASE0_STATUS.md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Candidate cohort (reference)</w:t>
            </w:r>
          </w:p>
        </w:tc>
        <w:tc>
          <w:tcPr>
            <w:tcW w:type="dxa" w:w="2160"/>
          </w:tcPr>
          <w:p>
            <w:r>
              <w:rPr>
                <w:b/>
              </w:rPr>
            </w:r>
            <w:r>
              <w:rPr>
                <w:b/>
              </w:rPr>
              <w:t>Material / modality</w:t>
            </w:r>
          </w:p>
        </w:tc>
        <w:tc>
          <w:tcPr>
            <w:tcW w:type="dxa" w:w="2160"/>
          </w:tcPr>
          <w:p>
            <w:r>
              <w:rPr>
                <w:b/>
              </w:rPr>
            </w:r>
            <w:r>
              <w:rPr>
                <w:b/>
              </w:rPr>
              <w:t>Reason excluded</w:t>
            </w:r>
          </w:p>
        </w:tc>
        <w:tc>
          <w:tcPr>
            <w:tcW w:type="dxa" w:w="2160"/>
          </w:tcPr>
          <w:p>
            <w:r>
              <w:rPr>
                <w:b/>
              </w:rPr>
            </w:r>
            <w:r>
              <w:rPr>
                <w:b/>
              </w:rPr>
              <w:t>Standard upheld</w:t>
            </w:r>
          </w:p>
        </w:tc>
      </w:tr>
      <w:tr>
        <w:tc>
          <w:tcPr>
            <w:tcW w:type="dxa" w:w="2160"/>
          </w:tcPr>
          <w:p>
            <w:r/>
            <w:r>
              <w:t xml:space="preserve">SweHLA / SweGen (Nabais Sá et al., </w:t>
            </w:r>
            <w:r>
              <w:rPr>
                <w:i/>
              </w:rPr>
              <w:t>EJHG</w:t>
            </w:r>
            <w:r>
              <w:t xml:space="preserve"> 2020)</w:t>
            </w:r>
          </w:p>
        </w:tc>
        <w:tc>
          <w:tcPr>
            <w:tcW w:type="dxa" w:w="2160"/>
          </w:tcPr>
          <w:p>
            <w:r/>
            <w:r>
              <w:t>germline WGS</w:t>
            </w:r>
          </w:p>
        </w:tc>
        <w:tc>
          <w:tcPr>
            <w:tcW w:type="dxa" w:w="2160"/>
          </w:tcPr>
          <w:p>
            <w:r/>
            <w:r>
              <w:t>Truth is access-gated: the open DOI record (10.17044/NBIS/G000009) is metadata-only with zero downloadable files; per-sample SweHLA genotypes require NBIS/SciLifeLab (swefreq) registration</w:t>
            </w:r>
          </w:p>
        </w:tc>
        <w:tc>
          <w:tcPr>
            <w:tcW w:type="dxa" w:w="2160"/>
          </w:tcPr>
          <w:p>
            <w:r/>
            <w:r>
              <w:t>Truth must be obtainable</w:t>
            </w:r>
          </w:p>
        </w:tc>
      </w:tr>
      <w:tr>
        <w:tc>
          <w:tcPr>
            <w:tcW w:type="dxa" w:w="2160"/>
          </w:tcPr>
          <w:p>
            <w:r/>
            <w:r>
              <w:t>PCR-SBT 829-WES (Yu et al. 2022, PMC9679531)</w:t>
            </w:r>
          </w:p>
        </w:tc>
        <w:tc>
          <w:tcPr>
            <w:tcW w:type="dxa" w:w="2160"/>
          </w:tcPr>
          <w:p>
            <w:r/>
            <w:r>
              <w:t>germline WES</w:t>
            </w:r>
          </w:p>
        </w:tc>
        <w:tc>
          <w:tcPr>
            <w:tcW w:type="dxa" w:w="2160"/>
          </w:tcPr>
          <w:p>
            <w:r/>
            <w:r>
              <w:t xml:space="preserve">The 829 WES samples </w:t>
            </w:r>
            <w:r>
              <w:rPr>
                <w:b/>
              </w:rPr>
              <w:t>are</w:t>
            </w:r>
            <w:r>
              <w:t xml:space="preserve"> 1000 Genomes Phase 3 → circular with our primary 1000G truth; not an independent cohort</w:t>
            </w:r>
          </w:p>
        </w:tc>
        <w:tc>
          <w:tcPr>
            <w:tcW w:type="dxa" w:w="2160"/>
          </w:tcPr>
          <w:p>
            <w:r/>
            <w:r>
              <w:t>Independence from the calibration cohort</w:t>
            </w:r>
          </w:p>
        </w:tc>
      </w:tr>
      <w:tr>
        <w:tc>
          <w:tcPr>
            <w:tcW w:type="dxa" w:w="2160"/>
          </w:tcPr>
          <w:p>
            <w:r/>
            <w:r>
              <w:t>PCR-SBT 652-RNA (Mangul Lab, PMC10827116)</w:t>
            </w:r>
          </w:p>
        </w:tc>
        <w:tc>
          <w:tcPr>
            <w:tcW w:type="dxa" w:w="2160"/>
          </w:tcPr>
          <w:p>
            <w:r/>
            <w:r>
              <w:t>bulk / single-cell RNA</w:t>
            </w:r>
          </w:p>
        </w:tc>
        <w:tc>
          <w:tcPr>
            <w:tcW w:type="dxa" w:w="2160"/>
          </w:tcPr>
          <w:p>
            <w:r/>
            <w:r>
              <w:t>Every diploid class-I subset is 1000G/HapMap (Geuvadis, Montgomery); the genuinely independent subsets are class-II-only, artificial mono-allelic (B721.221), 10× scRNA, or unreleased</w:t>
            </w:r>
          </w:p>
        </w:tc>
        <w:tc>
          <w:tcPr>
            <w:tcW w:type="dxa" w:w="2160"/>
          </w:tcPr>
          <w:p>
            <w:r/>
            <w:r>
              <w:t>Independent diploid class-I bulk reads</w:t>
            </w:r>
          </w:p>
        </w:tc>
      </w:tr>
      <w:tr>
        <w:tc>
          <w:tcPr>
            <w:tcW w:type="dxa" w:w="2160"/>
          </w:tcPr>
          <w:p>
            <w:r/>
            <w:r>
              <w:t>consHLA / ZERO Childhood Cancer (</w:t>
            </w:r>
            <w:r>
              <w:rPr>
                <w:i/>
              </w:rPr>
              <w:t>BMC Bioinformatics</w:t>
            </w:r>
            <w:r>
              <w:t xml:space="preserve"> 2025, PMC12363109)</w:t>
            </w:r>
          </w:p>
        </w:tc>
        <w:tc>
          <w:tcPr>
            <w:tcW w:type="dxa" w:w="2160"/>
          </w:tcPr>
          <w:p>
            <w:r/>
            <w:r>
              <w:t>WGS + RNA</w:t>
            </w:r>
          </w:p>
        </w:tc>
        <w:tc>
          <w:tcPr>
            <w:tcW w:type="dxa" w:w="2160"/>
          </w:tcPr>
          <w:p>
            <w:r/>
            <w:r>
              <w:t>Published per-sample "truth" is consHLA's own in-silico HLA-HD calls; the experimental clinical truth (10 patients) is aggregate-only with no per-sample genotypes and no deposited reads</w:t>
            </w:r>
          </w:p>
        </w:tc>
        <w:tc>
          <w:tcPr>
            <w:tcW w:type="dxa" w:w="2160"/>
          </w:tcPr>
          <w:p>
            <w:r/>
            <w:r>
              <w:t>Truth must be experimental and per-sample, not in-silico</w:t>
            </w:r>
          </w:p>
        </w:tc>
      </w:tr>
      <w:tr>
        <w:tc>
          <w:tcPr>
            <w:tcW w:type="dxa" w:w="2160"/>
          </w:tcPr>
          <w:p>
            <w:r/>
            <w:r>
              <w:t xml:space="preserve">GeT-RM (Bettinotti et al., </w:t>
            </w:r>
            <w:r>
              <w:rPr>
                <w:i/>
              </w:rPr>
              <w:t>J Mol Diagn</w:t>
            </w:r>
            <w:r>
              <w:t xml:space="preserve"> 2018, PMC6939753)</w:t>
            </w:r>
          </w:p>
        </w:tc>
        <w:tc>
          <w:tcPr>
            <w:tcW w:type="dxa" w:w="2160"/>
          </w:tcPr>
          <w:p>
            <w:r/>
            <w:r>
              <w:t>Coriell reference DNA</w:t>
            </w:r>
          </w:p>
        </w:tc>
        <w:tc>
          <w:tcPr>
            <w:tcW w:type="dxa" w:w="2160"/>
          </w:tcPr>
          <w:p>
            <w:r/>
            <w:r>
              <w:t>Integrity-clean three-field PCR-SSO/SBT truth was built for all 108 lines, but only 2/108 have usable public short reads (NA12273 RNA-seq, NA17221 WGS) → n=2, not a benchmark; the truth table is retained for future use</w:t>
            </w:r>
          </w:p>
        </w:tc>
        <w:tc>
          <w:tcPr>
            <w:tcW w:type="dxa" w:w="2160"/>
          </w:tcPr>
          <w:p>
            <w:r/>
            <w:r>
              <w:t>Truth needs matched open short reads</w:t>
            </w:r>
          </w:p>
        </w:tc>
      </w:tr>
    </w:tbl>
    <w:p/>
    <w:p>
      <w:r>
        <w:t>This discipline—rejecting a self-referential in-silico "truth", catching two cohorts that are covertly the 1000 Genomes resource we calibrate on, and declining an access-gated or read-less panel—is why the external-validation cohorts we do report (Results §8) are independent, experimentally-truthed, and openly reproducible.</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upon acceptance.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upon acceptance.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upon acceptance.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 xml:space="preserve">Szolek, A. et al. (2014). OptiType: precision HLA typing from next-generation sequencing data. </w:t>
      </w:r>
      <w:r>
        <w:rPr>
          <w:i/>
        </w:rPr>
        <w:t>Bioinformatics</w:t>
      </w:r>
      <w:r>
        <w:t>, 30, 3310–3316.</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