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ChampHLA project and method report for supervisors</w:t>
      </w:r>
    </w:p>
    <w:p>
      <w:r/>
      <w:r>
        <w:rPr>
          <w:b/>
        </w:rPr>
        <w:t>Date:</w:t>
      </w:r>
      <w:r>
        <w:t xml:space="preserve"> 2 September 2026</w:t>
      </w:r>
    </w:p>
    <w:p>
      <w:r/>
      <w:r>
        <w:rPr>
          <w:b/>
        </w:rPr>
        <w:t>Purpose:</w:t>
      </w:r>
      <w:r>
        <w:t xml:space="preserve"> Summarise the consensus baselines and ChampHLA methods that were</w:t>
      </w:r>
    </w:p>
    <w:p>
      <w:r>
        <w:t>tested, explain what worked and what did not, and define the scientifically</w:t>
      </w:r>
    </w:p>
    <w:p>
      <w:r>
        <w:t>defensible publication route.</w:t>
      </w:r>
    </w:p>
    <w:p>
      <w:pPr>
        <w:pStyle w:val="Heading2"/>
      </w:pPr>
      <w:r>
        <w:t>One-page summary</w:t>
      </w:r>
    </w:p>
    <w:p>
      <w:r>
        <w:t>ChampHLA began as a multi-caller HLA typing workflow with a</w:t>
      </w:r>
    </w:p>
    <w:p>
      <w:r>
        <w:t>Champion–Challenger (CC) decision layer. During development, we tested several</w:t>
      </w:r>
    </w:p>
    <w:p>
      <w:r>
        <w:t>simple consensus baselines and more complex extensions because raw CC did not</w:t>
      </w:r>
    </w:p>
    <w:p>
      <w:r>
        <w:t>consistently outperform the strongest simple baseline, unweighted</w:t>
      </w:r>
    </w:p>
    <w:p>
      <w:r>
        <w:t>plurality/MajorityVote, in WES and RNA-seq.</w:t>
      </w:r>
    </w:p>
    <w:p>
      <w:r>
        <w:t>The main findings are:</w:t>
      </w:r>
    </w:p>
    <w:p>
      <w:pPr>
        <w:pStyle w:val="ListNumber"/>
      </w:pPr>
      <w:r/>
      <w:r>
        <w:rPr>
          <w:b/>
        </w:rPr>
        <w:t>The software and harmonisation framework worked.</w:t>
      </w:r>
      <w:r>
        <w:t xml:space="preserve"> The project integrates</w:t>
      </w:r>
    </w:p>
    <w:p>
      <w:r>
        <w:t xml:space="preserve">  multiple HLA callers, normalises their outputs, preserves audit information,</w:t>
      </w:r>
    </w:p>
    <w:p>
      <w:r>
        <w:t xml:space="preserve">  and supports WGS, WES, and RNA-seq with modality-specific caller panels.</w:t>
      </w:r>
    </w:p>
    <w:p>
      <w:pPr>
        <w:pStyle w:val="ListNumber"/>
      </w:pPr>
      <w:r/>
      <w:r>
        <w:rPr>
          <w:b/>
        </w:rPr>
        <w:t>MajorityVote is already very strong in WES and RNA-seq.</w:t>
      </w:r>
      <w:r>
        <w:t xml:space="preserve"> On the current</w:t>
      </w:r>
    </w:p>
    <w:p>
      <w:r>
        <w:t xml:space="preserve">  1000 Genomes development data it produced 365/390 correct WES loci (93.59%)</w:t>
      </w:r>
    </w:p>
    <w:p>
      <w:r>
        <w:t xml:space="preserve">  and 306/321 correct RNA-seq loci (95.33%). There is little remaining room for</w:t>
      </w:r>
    </w:p>
    <w:p>
      <w:r>
        <w:t xml:space="preserve">  a caller-output-only method to improve these modalities.</w:t>
      </w:r>
    </w:p>
    <w:p>
      <w:pPr>
        <w:pStyle w:val="ListNumber"/>
      </w:pPr>
      <w:r>
        <w:t>**Raw CC did not demonstrate superiority over MajorityVote in WES or</w:t>
      </w:r>
    </w:p>
    <w:p>
      <w:r>
        <w:t xml:space="preserve">  RNA-seq.** Depending on the frozen artifact, WES raw CC is reported as</w:t>
      </w:r>
    </w:p>
    <w:p>
      <w:r>
        <w:t xml:space="preserve">  364/390 or 365/390, and RNA-seq as 304/321. This one-call WES discrepancy</w:t>
      </w:r>
    </w:p>
    <w:p>
      <w:r>
        <w:t xml:space="preserve">  must be reconciled. In either case, raw CC does not clearly beat the</w:t>
      </w:r>
    </w:p>
    <w:p>
      <w:r>
        <w:t xml:space="preserve">  always-call plurality baseline.</w:t>
      </w:r>
    </w:p>
    <w:p>
      <w:pPr>
        <w:pStyle w:val="ListNumber"/>
      </w:pPr>
      <w:r>
        <w:t>**CC significantly outperformed an abstaining two-thirds consensus in</w:t>
      </w:r>
    </w:p>
    <w:p>
      <w:r>
        <w:t xml:space="preserve">  internal development analyses.** The simple baseline calls only when at</w:t>
      </w:r>
    </w:p>
    <w:p>
      <w:r>
        <w:t xml:space="preserve">  least two-thirds of callable tools agree. The advantage comes from resolving</w:t>
      </w:r>
    </w:p>
    <w:p>
      <w:r>
        <w:t xml:space="preserve">  loci where this baseline reports </w:t>
      </w:r>
      <w:r>
        <w:rPr>
          <w:rFonts w:ascii="Consolas" w:hAnsi="Consolas"/>
          <w:sz w:val="18"/>
        </w:rPr>
        <w:t>no_consensus</w:t>
      </w:r>
      <w:r>
        <w:t>; it is not improved accuracy</w:t>
      </w:r>
    </w:p>
    <w:p>
      <w:r>
        <w:t xml:space="preserve">  on the high-agreement loci already called by the baseline.</w:t>
      </w:r>
    </w:p>
    <w:p>
      <w:pPr>
        <w:pStyle w:val="ListNumber"/>
      </w:pPr>
      <w:r/>
      <w:r>
        <w:rPr>
          <w:b/>
        </w:rPr>
        <w:t>TwoThirdsGuardedCC is the best current CC variant in the internal data.</w:t>
      </w:r>
      <w:r/>
    </w:p>
    <w:p>
      <w:r>
        <w:t xml:space="preserve">  It preserves every two-thirds consensus call and uses CC only at</w:t>
      </w:r>
    </w:p>
    <w:p>
      <w:r>
        <w:t xml:space="preserve">  low-agreement loci. It achieved 369/390 in WES (94.62%) and 306/321 in</w:t>
      </w:r>
    </w:p>
    <w:p>
      <w:r>
        <w:t xml:space="preserve">  RNA-seq (95.33%). This is +10.51 and +3.12 percentage points versus the</w:t>
      </w:r>
    </w:p>
    <w:p>
      <w:r>
        <w:t xml:space="preserve">  abstaining baseline, but only +1.03 and 0.00 points versus always-call</w:t>
      </w:r>
    </w:p>
    <w:p>
      <w:r>
        <w:t xml:space="preserve">  plurality. These are development results, not external confirmation.</w:t>
      </w:r>
    </w:p>
    <w:p>
      <w:pPr>
        <w:pStyle w:val="ListNumber"/>
      </w:pPr>
      <w:r>
        <w:t>**The more complex experimental methods did not produce a publishable new</w:t>
      </w:r>
    </w:p>
    <w:p>
      <w:r>
        <w:t xml:space="preserve">  accuracy method.** WeightedConsensus gave only a small, non-significant WES</w:t>
      </w:r>
    </w:p>
    <w:p>
      <w:r>
        <w:t xml:space="preserve">  gain; MetaConsensus regressed in NCI-60; RefFormer failed its nested gate;</w:t>
      </w:r>
    </w:p>
    <w:p>
      <w:r>
        <w:t xml:space="preserve">  and EvidenceGatedCC failed to rescue the MajorityVote errors using read-level</w:t>
      </w:r>
    </w:p>
    <w:p>
      <w:r>
        <w:t xml:space="preserve">  evidence.</w:t>
      </w:r>
    </w:p>
    <w:p>
      <w:pPr>
        <w:pStyle w:val="ListNumber"/>
      </w:pPr>
      <w:r/>
      <w:r>
        <w:rPr>
          <w:b/>
        </w:rPr>
        <w:t>Historical WGS performance is invalid.</w:t>
      </w:r>
      <w:r>
        <w:t xml:space="preserve"> The old extraction omitted HLA</w:t>
      </w:r>
    </w:p>
    <w:p>
      <w:r>
        <w:t xml:space="preserve">  alternate-contig reads and discarded mates outside the chromosome-6 slice.</w:t>
      </w:r>
    </w:p>
    <w:p>
      <w:r>
        <w:t xml:space="preserve">  The manuscript's current WGS headline must be removed. A repaired</w:t>
      </w:r>
    </w:p>
    <w:p>
      <w:r>
        <w:t xml:space="preserve">  full-CRAM pilot now passes technical validation for two subjects, but it is</w:t>
      </w:r>
    </w:p>
    <w:p>
      <w:r>
        <w:t xml:space="preserve">  not a performance study.</w:t>
      </w:r>
    </w:p>
    <w:p>
      <w:pPr>
        <w:pStyle w:val="ListNumber"/>
      </w:pPr>
      <w:r/>
      <w:r>
        <w:rPr>
          <w:b/>
        </w:rPr>
        <w:t>The default publication route should be a benchmark/software paper.</w:t>
      </w:r>
      <w:r>
        <w:t xml:space="preserve"> A</w:t>
      </w:r>
    </w:p>
    <w:p>
      <w:r>
        <w:t xml:space="preserve">  method-focused paper should be activated only if frozen unseen-cohort tests</w:t>
      </w:r>
    </w:p>
    <w:p>
      <w:r>
        <w:t xml:space="preserve">  confirm Guarded CC without hiding MajorityVote and other strong comparators.</w:t>
      </w:r>
    </w:p>
    <w:p>
      <w:pPr>
        <w:pStyle w:val="Heading2"/>
      </w:pPr>
      <w:r>
        <w:t>What the project currently contains</w:t>
      </w:r>
    </w:p>
    <w:p>
      <w:r>
        <w:t>The project has two related contributions:</w:t>
      </w:r>
    </w:p>
    <w:p>
      <w:pPr>
        <w:pStyle w:val="ListBullet"/>
      </w:pPr>
      <w:r/>
      <w:r>
        <w:rPr>
          <w:b/>
        </w:rPr>
        <w:t>Software contribution:</w:t>
      </w:r>
      <w:r>
        <w:t xml:space="preserve"> reproducible execution of several HLA callers,</w:t>
      </w:r>
    </w:p>
    <w:p>
      <w:r>
        <w:t xml:space="preserve"> canonical two-field allele normalisation, modality-specific caller panels,</w:t>
      </w:r>
    </w:p>
    <w:p>
      <w:r>
        <w:t xml:space="preserve"> consensus generation, failure tracking, and per-call audit traces.</w:t>
      </w:r>
    </w:p>
    <w:p>
      <w:pPr>
        <w:pStyle w:val="ListBullet"/>
      </w:pPr>
      <w:r/>
      <w:r>
        <w:rPr>
          <w:b/>
        </w:rPr>
        <w:t>Method contribution:</w:t>
      </w:r>
      <w:r>
        <w:t xml:space="preserve"> Champion–Challenger and later variants intended to</w:t>
      </w:r>
    </w:p>
    <w:p>
      <w:r>
        <w:t xml:space="preserve"> choose a reliable final allele pair when callers disagree.</w:t>
      </w:r>
    </w:p>
    <w:p>
      <w:r>
        <w:t>The intended-use panels currently frozen for class-I evaluation are:</w:t>
      </w:r>
    </w:p>
    <w:p>
      <w:pPr>
        <w:pStyle w:val="ListBullet"/>
      </w:pPr>
      <w:r>
        <w:t>WGS: HLA-HD, Kourami, OptiType, SpecHLA, and T1K.</w:t>
      </w:r>
    </w:p>
    <w:p>
      <w:pPr>
        <w:pStyle w:val="ListBullet"/>
      </w:pPr>
      <w:r>
        <w:t>WES: HLA-HD, OptiType, POLYSOLVER, SpecHLA, and T1K.</w:t>
      </w:r>
    </w:p>
    <w:p>
      <w:pPr>
        <w:pStyle w:val="ListBullet"/>
      </w:pPr>
      <w:r>
        <w:t>RNA-seq: ArcasHLA, HLA-HD, OptiType, and T1K.</w:t>
      </w:r>
    </w:p>
    <w:p>
      <w:r>
        <w:t>All primary evaluation is restricted to HLA-A, HLA-B, and HLA-C at exact,</w:t>
      </w:r>
    </w:p>
    <w:p>
      <w:r>
        <w:t>unordered, two-field resolution. Missing calls count as incorrect in the</w:t>
      </w:r>
    </w:p>
    <w:p>
      <w:r>
        <w:t>fixed-denominator endpoint.</w:t>
      </w:r>
    </w:p>
    <w:p>
      <w:pPr>
        <w:pStyle w:val="Heading2"/>
      </w:pPr>
      <w:r>
        <w:t>Baselines and comparators that were evaluated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550"/>
            <w:shd w:fill="D9EAF7"/>
          </w:tcPr>
          <w:p>
            <w:r>
              <w:rPr>
                <w:b/>
                <w:sz w:val="18"/>
              </w:rPr>
              <w:t>What it does</w:t>
            </w:r>
          </w:p>
        </w:tc>
        <w:tc>
          <w:tcPr>
            <w:tcW w:type="dxa" w:w="2550"/>
            <w:shd w:fill="D9EAF7"/>
          </w:tcPr>
          <w:p>
            <w:r>
              <w:rPr>
                <w:b/>
                <w:sz w:val="18"/>
              </w:rPr>
              <w:t>What happened</w:t>
            </w:r>
          </w:p>
        </w:tc>
        <w:tc>
          <w:tcPr>
            <w:tcW w:type="dxa" w:w="2550"/>
            <w:shd w:fill="D9EAF7"/>
          </w:tcPr>
          <w:p>
            <w:r>
              <w:rPr>
                <w:b/>
                <w:sz w:val="18"/>
              </w:rPr>
              <w:t>Current role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Plurality/MajorityVote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Each callable tool casts one equal vote for its complete allele pair; the most frequent pair wins with deterministic tie-breaking.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Strongest simple always-call baseline in WES and RNA-seq: 365/390 and 306/321 correct. Raw CC did not improve it consistently.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Mandatory main comparator.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Per-allele independent vote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Votes separately for individual alleles and combines the two most supported alleles.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Slightly worse than pair-level plurality: 363/390 WES and 305/321 RNA-seq.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Exploratory baseline; not preferred.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Tool-priority cascade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Uses the first callable tool in a development-ranked priority order.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Worse than plurality in WES and RNA-seq: 360/390 and 303/321. It is also partially trained rather than a purely naive baseline.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Secondary comparator only.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Fixed single caller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Uses one caller, such as OptiType, HLA-HD, or T1K.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Demonstrated strong modality dependence and did not provide a universally best policy.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Required descriptive comparator.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Nested best-single-tool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Selects the strongest single tool within training folds.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Useful for testing whether an ensemble exceeds the best caller ceiling; did not provide a universal improvement.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Required secondary comparator.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SimpleStrictMajority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Calls only when one pair receives more than half of callable votes.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CC improved fixed-denominator performance by filling no-consensus loci, while preserving the baseline calls.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Exploratory abstaining baseline.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SimpleTwoThirdsConsensus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 xml:space="preserve">Calls only when one pair has at least two-thirds support; otherwise reports </w:t>
            </w:r>
            <w:r>
              <w:rPr>
                <w:rFonts w:ascii="Consolas" w:hAnsi="Consolas"/>
                <w:sz w:val="17"/>
              </w:rPr>
              <w:t>no_consensus</w:t>
            </w:r>
            <w:r>
              <w:rPr>
                <w:sz w:val="17"/>
              </w:rPr>
              <w:t>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Produced 328/390 WES and 296/321 RNA-seq correct calls. It has very high called-only accuracy but lower callability.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Frozen baseline for the narrow “resolution of consensus failures” claim. It cannot be the only comparator.</w:t>
            </w:r>
          </w:p>
        </w:tc>
      </w:tr>
    </w:tbl>
    <w:p/>
    <w:p>
      <w:r>
        <w:t>The baseline ladder was useful because it showed that changing the form of a</w:t>
      </w:r>
    </w:p>
    <w:p>
      <w:r>
        <w:t>simple vote does not create a better general method. Pair-level plurality</w:t>
      </w:r>
    </w:p>
    <w:p>
      <w:r>
        <w:t>remained the strongest simple always-call baseline. The two-thirds rule is</w:t>
      </w:r>
    </w:p>
    <w:p>
      <w:r>
        <w:t>useful for measuring whether CC can resolve disagreements, but it was selected</w:t>
      </w:r>
    </w:p>
    <w:p>
      <w:r>
        <w:t>during development after several agreement thresholds were examined.</w:t>
      </w:r>
    </w:p>
    <w:p>
      <w:r>
        <w:t>Therefore, its present significance is discovery evidence and requires frozen</w:t>
      </w:r>
    </w:p>
    <w:p>
      <w:r>
        <w:t>confirmation.</w:t>
      </w:r>
    </w:p>
    <w:p>
      <w:pPr>
        <w:pStyle w:val="Heading2"/>
      </w:pPr>
      <w:r>
        <w:t>ChampHLA methods and experimental extensions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550"/>
            <w:shd w:fill="D9EAF7"/>
          </w:tcPr>
          <w:p>
            <w:r>
              <w:rPr>
                <w:b/>
                <w:sz w:val="18"/>
              </w:rPr>
              <w:t>Intended improvement</w:t>
            </w:r>
          </w:p>
        </w:tc>
        <w:tc>
          <w:tcPr>
            <w:tcW w:type="dxa" w:w="2550"/>
            <w:shd w:fill="D9EAF7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550"/>
            <w:shd w:fill="D9EAF7"/>
          </w:tcPr>
          <w:p>
            <w:r>
              <w:rPr>
                <w:b/>
                <w:sz w:val="18"/>
              </w:rPr>
              <w:t>Decision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Raw Champion–Challenger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Use a benchmark-selected champion by default and allow a weighted challenger to replace it after support and margin gates.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Did not beat plurality in WES/RNA-seq. The old apparent WGS advantage was based on invalid inputs and cannot be used.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Retain as the core explanatory ablation, not a confirmed universal winner.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WeightedConsensus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Weight callers by training-derived reliability rather than equal votes.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In the subject-separated development subset it rescued two WES loci without harm, a +0.725-point gain, but McNemar P=0.50. RNA-seq gain was zero.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Exploratory; no headline claim.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MV-floor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Use raw CC only in training-supported vote strata and otherwise fall back to MajorityVote.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It equalled MajorityVote in WES/RNA-seq. Its reported WGS gain is invalid because of the historical input extraction.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Remove as the manuscript's operating headline.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TwoThirdsGuardedCC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Preserve calls accepted by the two-thirds baseline; use raw CC below two-thirds agreement and deterministic plurality only when raw CC is unavailable.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Best internal CC variant: 369/390 WES and 306/321 RNA-seq. Its benefit is resolution of abstentions.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Freeze for confirmation; do not claim external superiority yet.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MetaConsensus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L2-regularised candidate-level logistic scorer using vote, caller, modality, gene, and confidence features.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Passed an internal gate mainly because of apparent WGS improvement, but NCI-60 WES and RNA-seq each regressed by 2.44 points versus MajorityVote.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Negative/exploratory ablation, not the central method.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RefFormer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Transformer candidate reranker using pinned IMGT sequence representations and caller-context tokens.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Failed the prespecified nested gate. It was below the strongest baseline in WGS, tied in WES, and lower in RNA-seq; the IMGT-aware model did not outperform its no-IMGT neural ablation.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Negative ablation; no further GPU scaling.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EvidenceGatedCC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Use independent read-level IMGT 31-mer evidence to override MajorityVote only when evidence is strong.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Rescued 0/23 development WES MajorityVote errors and 0/9 RNA-seq errors. Candidate expansion increased the theoretical oracle, but the evidence scorer could not identify the correct candidate reliably.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Prespecified gate failed; method development stopped.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  <w:t>Algorithm-family and correlation-aware gates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Reduce the effect of callers that may share algorithms or reference blind spots.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Did not materially change held-out performance; reported differences were at most approximately 0.5 points.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  <w:t>Sensitivity analysis only.</w:t>
            </w:r>
          </w:p>
        </w:tc>
      </w:tr>
    </w:tbl>
    <w:p/>
    <w:p>
      <w:pPr>
        <w:pStyle w:val="Heading2"/>
      </w:pPr>
      <w:r>
        <w:t>What genuinely worked</w:t>
      </w:r>
    </w:p>
    <w:p>
      <w:pPr>
        <w:pStyle w:val="Heading3"/>
      </w:pPr>
      <w:r>
        <w:t>1. Reproducible multi-caller integration</w:t>
      </w:r>
    </w:p>
    <w:p>
      <w:r>
        <w:t>The strongest current contribution is the workflow rather than a universally</w:t>
      </w:r>
    </w:p>
    <w:p>
      <w:r>
        <w:t>superior accuracy algorithm. The project provides harmonised caller outputs,</w:t>
      </w:r>
    </w:p>
    <w:p>
      <w:r>
        <w:t>canonical pair handling, explicit missingness, intended-use panels, checksums,</w:t>
      </w:r>
    </w:p>
    <w:p>
      <w:r>
        <w:t>and auditable consensus decisions. These are valuable because HLA callers have</w:t>
      </w:r>
    </w:p>
    <w:p>
      <w:r>
        <w:t>incompatible formats, references, dependencies, and modality restrictions.</w:t>
      </w:r>
    </w:p>
    <w:p>
      <w:pPr>
        <w:pStyle w:val="Heading3"/>
      </w:pPr>
      <w:r>
        <w:t>2. A clear understanding of consensus saturation</w:t>
      </w:r>
    </w:p>
    <w:p>
      <w:r>
        <w:t>The work demonstrates that caller agreement is already high in WES and</w:t>
      </w:r>
    </w:p>
    <w:p>
      <w:r>
        <w:t>RNA-seq. MajorityVote reaches 93.59% and 95.33%, respectively, and the</w:t>
      </w:r>
    </w:p>
    <w:p>
      <w:r>
        <w:t>caller-candidate oracle leaves little recoverable error. This explains why</w:t>
      </w:r>
    </w:p>
    <w:p>
      <w:r>
        <w:t>additional caller-output-only models did not improve reliably.</w:t>
      </w:r>
    </w:p>
    <w:p>
      <w:pPr>
        <w:pStyle w:val="Heading3"/>
      </w:pPr>
      <w:r>
        <w:t>3. Guarded resolution of low-agreement loci</w:t>
      </w:r>
    </w:p>
    <w:p>
      <w:r>
        <w:t>TwoThirdsGuardedCC has a precise and defensible interpretation: retain the</w:t>
      </w:r>
    </w:p>
    <w:p>
      <w:r>
        <w:t>simple consensus when agreement is high, and invoke CC when the simple rule</w:t>
      </w:r>
    </w:p>
    <w:p>
      <w:r>
        <w:t>would abstain. In the internal data it added correct calls without changing</w:t>
      </w:r>
    </w:p>
    <w:p>
      <w:r>
        <w:t>accepted two-thirds consensus calls. This supports a claim about **increased</w:t>
      </w:r>
    </w:p>
    <w:p>
      <w:r>
        <w:t>fixed-denominator call resolution**, not improved conditional accuracy on</w:t>
      </w:r>
    </w:p>
    <w:p>
      <w:r>
        <w:t>already-called loci.</w:t>
      </w:r>
    </w:p>
    <w:p>
      <w:pPr>
        <w:pStyle w:val="Heading3"/>
      </w:pPr>
      <w:r>
        <w:t>4. Transparent negative results</w:t>
      </w:r>
    </w:p>
    <w:p>
      <w:r>
        <w:t>MetaConsensus, RefFormer, and EvidenceGatedCC were tested with explicit kill</w:t>
      </w:r>
    </w:p>
    <w:p>
      <w:r>
        <w:t>criteria rather than being repeatedly tuned until a favourable result appeared.</w:t>
      </w:r>
    </w:p>
    <w:p>
      <w:r>
        <w:t>Reporting these results as ablations strengthens the benchmark paper by showing</w:t>
      </w:r>
    </w:p>
    <w:p>
      <w:r>
        <w:t>where complex ensemble methods fail and why strong simple voting is difficult</w:t>
      </w:r>
    </w:p>
    <w:p>
      <w:r>
        <w:t>to beat.</w:t>
      </w:r>
    </w:p>
    <w:p>
      <w:pPr>
        <w:pStyle w:val="Heading3"/>
      </w:pPr>
      <w:r>
        <w:t>5. WGS pipeline repair</w:t>
      </w:r>
    </w:p>
    <w:p>
      <w:r>
        <w:t>The repaired full-CRAM process preserves mates and HLA alternate-contig reads.</w:t>
      </w:r>
    </w:p>
    <w:p>
      <w:r>
        <w:t>For HG00096 and HG00097, all five callers completed and all 30 expected</w:t>
      </w:r>
    </w:p>
    <w:p>
      <w:r>
        <w:t>caller-by-locus records passed checksum, native-output, normalisation, and</w:t>
      </w:r>
    </w:p>
    <w:p>
      <w:r>
        <w:t>parser round-trip checks. This confirms the repaired technical workflow, but</w:t>
      </w:r>
    </w:p>
    <w:p>
      <w:r>
        <w:t>two subjects cannot establish accuracy or significance.</w:t>
      </w:r>
    </w:p>
    <w:p>
      <w:pPr>
        <w:pStyle w:val="Heading2"/>
      </w:pPr>
      <w:r>
        <w:t>What did not work or cannot currently be claimed</w:t>
      </w:r>
    </w:p>
    <w:p>
      <w:pPr>
        <w:pStyle w:val="ListBullet"/>
      </w:pPr>
      <w:r>
        <w:t>Raw CC does not currently beat MajorityVote in WES or RNA-seq.</w:t>
      </w:r>
    </w:p>
    <w:p>
      <w:pPr>
        <w:pStyle w:val="ListBullet"/>
      </w:pPr>
      <w:r>
        <w:t>The historical WGS numbers are invalid and must not appear in the abstract,</w:t>
      </w:r>
    </w:p>
    <w:p>
      <w:r>
        <w:t xml:space="preserve"> results headline, or performance figures.</w:t>
      </w:r>
    </w:p>
    <w:p>
      <w:pPr>
        <w:pStyle w:val="ListBullet"/>
      </w:pPr>
      <w:r>
        <w:t>MV-floor has no WES/RNA advantage over MajorityVote and has no valid WGS</w:t>
      </w:r>
    </w:p>
    <w:p>
      <w:r>
        <w:t xml:space="preserve"> evidence.</w:t>
      </w:r>
    </w:p>
    <w:p>
      <w:pPr>
        <w:pStyle w:val="ListBullet"/>
      </w:pPr>
      <w:r>
        <w:t>MetaConsensus did not transfer to NCI-60 without regression.</w:t>
      </w:r>
    </w:p>
    <w:p>
      <w:pPr>
        <w:pStyle w:val="ListBullet"/>
      </w:pPr>
      <w:r>
        <w:t>RefFormer did not pass either the overall improvement gate or the IMGT-value</w:t>
      </w:r>
    </w:p>
    <w:p>
      <w:r>
        <w:t xml:space="preserve"> ablation gate.</w:t>
      </w:r>
    </w:p>
    <w:p>
      <w:pPr>
        <w:pStyle w:val="ListBullet"/>
      </w:pPr>
      <w:r>
        <w:t>EvidenceGatedCC did not recover the observed MajorityVote errors.</w:t>
      </w:r>
    </w:p>
    <w:p>
      <w:pPr>
        <w:pStyle w:val="ListBullet"/>
      </w:pPr>
      <w:r>
        <w:t>Significance versus the two-thirds baseline cannot be presented as</w:t>
      </w:r>
    </w:p>
    <w:p>
      <w:r>
        <w:t xml:space="preserve"> superiority over MajorityVote because the two-thirds baseline abstains.</w:t>
      </w:r>
    </w:p>
    <w:p>
      <w:pPr>
        <w:pStyle w:val="ListBullet"/>
      </w:pPr>
      <w:r>
        <w:t>Existing 1000G and NCI-60 analyses are development or previously examined</w:t>
      </w:r>
    </w:p>
    <w:p>
      <w:r>
        <w:t xml:space="preserve"> evidence; they are not untouched independent confirmation.</w:t>
      </w:r>
    </w:p>
    <w:p>
      <w:pPr>
        <w:pStyle w:val="ListBullet"/>
      </w:pPr>
      <w:r>
        <w:t>External confirmation is incomplete. The frozen WGS and WES rosters are</w:t>
      </w:r>
    </w:p>
    <w:p>
      <w:r>
        <w:t xml:space="preserve"> feasible, but only 99 strictly eligible unseen RNA donors were identified,</w:t>
      </w:r>
    </w:p>
    <w:p>
      <w:r>
        <w:t xml:space="preserve"> below the locked minimum of 130.</w:t>
      </w:r>
    </w:p>
    <w:p>
      <w:pPr>
        <w:pStyle w:val="Heading2"/>
      </w:pPr>
      <w:r>
        <w:t>Numerical and naming problems requiring correction</w:t>
      </w:r>
    </w:p>
    <w:p>
      <w:r>
        <w:t>Before manuscript editing, the following must be reconciled in one locked</w:t>
      </w:r>
    </w:p>
    <w:p>
      <w:r>
        <w:t>table:</w:t>
      </w:r>
    </w:p>
    <w:p>
      <w:pPr>
        <w:pStyle w:val="ListNumber"/>
      </w:pPr>
      <w:r>
        <w:t>The raw-CC WES count is 364/390 in the baseline-ladder artifact but 365/390</w:t>
      </w:r>
    </w:p>
    <w:p>
      <w:r>
        <w:t xml:space="preserve">  in the two-thirds significance artifact.</w:t>
      </w:r>
    </w:p>
    <w:p>
      <w:pPr>
        <w:pStyle w:val="ListNumber"/>
      </w:pPr>
      <w:r>
        <w:t>MetaConsensus WGS is registered as 220/411 in one frozen artifact and</w:t>
      </w:r>
    </w:p>
    <w:p>
      <w:r>
        <w:t xml:space="preserve">  230/411 in the baseline ladder. Neither value can support a claim until WGS</w:t>
      </w:r>
    </w:p>
    <w:p>
      <w:r>
        <w:t xml:space="preserve">  is rerun from valid full-CRAM inputs.</w:t>
      </w:r>
    </w:p>
    <w:p>
      <w:pPr>
        <w:pStyle w:val="ListNumber"/>
      </w:pPr>
      <w:r>
        <w:t>The pooled raw-CC comparison reports 669/711, whereas the later Guarded CC</w:t>
      </w:r>
    </w:p>
    <w:p>
      <w:r>
        <w:t xml:space="preserve">  totals 675/711. These are different methods and must not both be called</w:t>
      </w:r>
    </w:p>
    <w:p>
      <w:r>
        <w:t xml:space="preserve">  simply “Champion–Challenger.”</w:t>
      </w:r>
    </w:p>
    <w:p>
      <w:pPr>
        <w:pStyle w:val="ListNumber"/>
      </w:pPr>
      <w:r>
        <w:t>The existing manuscript describes MV-floor as the operating method, while</w:t>
      </w:r>
    </w:p>
    <w:p>
      <w:r>
        <w:t xml:space="preserve">  the recovery plan freezes TwoThirdsGuardedCC as the conditional method.</w:t>
      </w:r>
    </w:p>
    <w:p>
      <w:pPr>
        <w:pStyle w:val="ListNumber"/>
      </w:pPr>
      <w:r>
        <w:t>“MajorityVote,” “plurality,” “SimpleConsensusBaseline,” “two-thirds</w:t>
      </w:r>
    </w:p>
    <w:p>
      <w:r>
        <w:t xml:space="preserve">  consensus,” raw CC, and Guarded CC must be defined separately and used</w:t>
      </w:r>
    </w:p>
    <w:p>
      <w:r>
        <w:t xml:space="preserve">  consistently in text, tables, and figures.</w:t>
      </w:r>
    </w:p>
    <w:p>
      <w:r>
        <w:t>Until these points are resolved, no numerical method claim should be placed in</w:t>
      </w:r>
    </w:p>
    <w:p>
      <w:r>
        <w:t>the abstract.</w:t>
      </w:r>
    </w:p>
    <w:p>
      <w:pPr>
        <w:pStyle w:val="Heading2"/>
      </w:pPr>
      <w:r>
        <w:t>Recommended manuscript strategy</w:t>
      </w:r>
    </w:p>
    <w:p>
      <w:pPr>
        <w:pStyle w:val="Heading3"/>
      </w:pPr>
      <w:r>
        <w:t>Default: benchmark/software manuscript</w:t>
      </w:r>
    </w:p>
    <w:p>
      <w:r>
        <w:t>The most defensible paper should focus on:</w:t>
      </w:r>
    </w:p>
    <w:p>
      <w:pPr>
        <w:pStyle w:val="ListBullet"/>
      </w:pPr>
      <w:r>
        <w:t>multi-caller workflow integration and reproducibility;</w:t>
      </w:r>
    </w:p>
    <w:p>
      <w:pPr>
        <w:pStyle w:val="ListBullet"/>
      </w:pPr>
      <w:r>
        <w:t>canonical HLA call harmonisation and auditability;</w:t>
      </w:r>
    </w:p>
    <w:p>
      <w:pPr>
        <w:pStyle w:val="ListBullet"/>
      </w:pPr>
      <w:r>
        <w:t>modality-specific caller behaviour;</w:t>
      </w:r>
    </w:p>
    <w:p>
      <w:pPr>
        <w:pStyle w:val="ListBullet"/>
      </w:pPr>
      <w:r>
        <w:t>MajorityVote saturation and candidate ceilings;</w:t>
      </w:r>
    </w:p>
    <w:p>
      <w:pPr>
        <w:pStyle w:val="ListBullet"/>
      </w:pPr>
      <w:r>
        <w:t>why learned and read-evidence extensions did not generalise;</w:t>
      </w:r>
    </w:p>
    <w:p>
      <w:pPr>
        <w:pStyle w:val="ListBullet"/>
      </w:pPr>
      <w:r>
        <w:t>WGS extraction and failure-propagation lessons;</w:t>
      </w:r>
    </w:p>
    <w:p>
      <w:pPr>
        <w:pStyle w:val="ListBullet"/>
      </w:pPr>
      <w:r>
        <w:t>transparent reporting of both positive and negative ablations.</w:t>
      </w:r>
    </w:p>
    <w:p>
      <w:r>
        <w:t>Guarded CC can be described as an internally promising mechanism for resolving</w:t>
      </w:r>
    </w:p>
    <w:p>
      <w:r>
        <w:t>low-agreement loci, but not as a universally superior method.</w:t>
      </w:r>
    </w:p>
    <w:p>
      <w:pPr>
        <w:pStyle w:val="Heading3"/>
      </w:pPr>
      <w:r>
        <w:t>Conditional: method-focused manuscript</w:t>
      </w:r>
    </w:p>
    <w:p>
      <w:r>
        <w:t>This route should be used only if the unchanged Guarded CC rule succeeds on</w:t>
      </w:r>
    </w:p>
    <w:p>
      <w:r>
        <w:t>frozen unseen cohorts. The main results must still display MajorityVote,</w:t>
      </w:r>
    </w:p>
    <w:p>
      <w:r>
        <w:t>raw CC, MV-floor, best-single-tool, MetaConsensus, and individual callers.</w:t>
      </w:r>
    </w:p>
    <w:p>
      <w:r>
        <w:t>Success only against an abstaining baseline is insufficient for a broad claim</w:t>
      </w:r>
    </w:p>
    <w:p>
      <w:r>
        <w:t>that ChampHLA improves HLA typing accuracy.</w:t>
      </w:r>
    </w:p>
    <w:p>
      <w:pPr>
        <w:pStyle w:val="Heading2"/>
      </w:pPr>
      <w:r>
        <w:t>Remaining work in priority order</w:t>
      </w:r>
    </w:p>
    <w:p>
      <w:pPr>
        <w:pStyle w:val="ListNumber"/>
      </w:pPr>
      <w:r>
        <w:t>Reconcile the conflicting raw-CC and MetaConsensus counts and regenerate one</w:t>
      </w:r>
    </w:p>
    <w:p>
      <w:r>
        <w:t xml:space="preserve">  authoritative result table.</w:t>
      </w:r>
    </w:p>
    <w:p>
      <w:pPr>
        <w:pStyle w:val="ListNumber"/>
      </w:pPr>
      <w:r>
        <w:t>Obtain named human sign-off for the 30 technically reviewed WGS pilot</w:t>
      </w:r>
    </w:p>
    <w:p>
      <w:r>
        <w:t xml:space="preserve">  records and add 20 valid records to meet the 50-record production audit.</w:t>
      </w:r>
    </w:p>
    <w:p>
      <w:pPr>
        <w:pStyle w:val="ListNumber"/>
      </w:pPr>
      <w:r>
        <w:t>Replace the permissive legacy Nextflow failure policy with a fail-closed,</w:t>
      </w:r>
    </w:p>
    <w:p>
      <w:r>
        <w:t xml:space="preserve">  tested confirmation runner.</w:t>
      </w:r>
    </w:p>
    <w:p>
      <w:pPr>
        <w:pStyle w:val="ListNumber"/>
      </w:pPr>
      <w:r>
        <w:t>Run truth-blind predictions for the frozen 120-subject WGS and 89-subject</w:t>
      </w:r>
    </w:p>
    <w:p>
      <w:r>
        <w:t xml:space="preserve">  WES rosters, checksum them, and only then join the locked 2014 laboratory</w:t>
      </w:r>
    </w:p>
    <w:p>
      <w:r>
        <w:t xml:space="preserve">  truth once.</w:t>
      </w:r>
    </w:p>
    <w:p>
      <w:pPr>
        <w:pStyle w:val="ListNumber"/>
      </w:pPr>
      <w:r>
        <w:t>Run HPRC WGS as independent validation after the internal WGS pipeline gate</w:t>
      </w:r>
    </w:p>
    <w:p>
      <w:r>
        <w:t xml:space="preserve">  passes.</w:t>
      </w:r>
    </w:p>
    <w:p>
      <w:pPr>
        <w:pStyle w:val="ListNumber"/>
      </w:pPr>
      <w:r>
        <w:t>Treat the current 99-subject unseen RNA cohort as infeasible for the locked</w:t>
      </w:r>
    </w:p>
    <w:p>
      <w:r>
        <w:t xml:space="preserve">  three-modality claim unless a legitimate orthogonal truth cohort is found;</w:t>
      </w:r>
    </w:p>
    <w:p>
      <w:r>
        <w:t xml:space="preserve">  do not lower the target after viewing results.</w:t>
      </w:r>
    </w:p>
    <w:p>
      <w:pPr>
        <w:pStyle w:val="ListNumber"/>
      </w:pPr>
      <w:r>
        <w:t>Update the benchmark manuscript from the authoritative registry. Remove the</w:t>
      </w:r>
    </w:p>
    <w:p>
      <w:r>
        <w:t xml:space="preserve">  invalid WGS headline, distinguish fixed-denominator from called-only</w:t>
      </w:r>
    </w:p>
    <w:p>
      <w:r>
        <w:t xml:space="preserve">  accuracy, and move FIMM, LOH, HED/survival, class II, and long-read analyses</w:t>
      </w:r>
    </w:p>
    <w:p>
      <w:r>
        <w:t xml:space="preserve">  outside the main story.</w:t>
      </w:r>
    </w:p>
    <w:p>
      <w:pPr>
        <w:pStyle w:val="Heading2"/>
      </w:pPr>
      <w:r>
        <w:t>Recommended conclusion to communicate</w:t>
      </w:r>
    </w:p>
    <w:p>
      <w:r>
        <w:t>ChampHLA has produced a useful and potentially publishable multi-caller</w:t>
      </w:r>
    </w:p>
    <w:p>
      <w:r>
        <w:t>benchmark and software framework. The evidence does not currently support a</w:t>
      </w:r>
    </w:p>
    <w:p>
      <w:r>
        <w:t>general claim that raw Champion–Challenger beats MajorityVote. The most</w:t>
      </w:r>
    </w:p>
    <w:p>
      <w:r>
        <w:t>promising CC result is Guarded CC's ability to resolve loci where a conservative</w:t>
      </w:r>
    </w:p>
    <w:p>
      <w:r>
        <w:t>two-thirds consensus abstains while preserving high-agreement calls. That</w:t>
      </w:r>
    </w:p>
    <w:p>
      <w:r>
        <w:t>result is internally significant but still needs frozen confirmation. The</w:t>
      </w:r>
    </w:p>
    <w:p>
      <w:r>
        <w:t>failed MetaConsensus, RefFormer, and EvidenceGatedCC experiments should be</w:t>
      </w:r>
    </w:p>
    <w:p>
      <w:r>
        <w:t>reported transparently as informative ablations rather than omitted.</w:t>
      </w:r>
    </w:p>
    <w:p>
      <w:pPr>
        <w:pStyle w:val="Heading2"/>
      </w:pPr>
      <w:r>
        <w:t>Evidence files</w:t>
      </w:r>
    </w:p>
    <w:p>
      <w:r>
        <w:t>This report was prepared from the isolated publication-candidate repository:</w:t>
      </w:r>
    </w:p>
    <w:p>
      <w:pPr>
        <w:pStyle w:val="ListBullet"/>
      </w:pPr>
      <w:r/>
      <w:r>
        <w:rPr>
          <w:rFonts w:ascii="Consolas" w:hAnsi="Consolas"/>
          <w:sz w:val="18"/>
        </w:rPr>
        <w:t>result_registry.tsv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artifacts/source_results/primary_modality_results.tsv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artifacts/source_results/publication_assessment.json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artifacts/source_results/final_internal_decision.json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artifacts/verification/discovery_reproduction.json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cohorts/frozen_initial_rosters.json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artifacts/wgs_pilot_review/REVIEW_STATUS.md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manuscripts/claim_audit.tsv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decisions/20260901_publication_recovery.json</w:t>
      </w:r>
      <w:r/>
    </w:p>
    <w:p>
      <w:r>
        <w:t>All values in this report are development or secondary evidence unless</w:t>
      </w:r>
    </w:p>
    <w:p>
      <w:r>
        <w:t>explicitly described otherwise. No result is currently authorised as a</w:t>
      </w:r>
    </w:p>
    <w:p>
      <w:r>
        <w:t>confirmed abstract-level performance claim.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ChampHLA project and method report for supervisors</dc:title>
  <dc:subject>Consensus baselines, method experiments, results, and publication status</dc:subject>
  <dc:creator>ChampHLA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