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HLA typing at the population scale is now a prerequisite for transplantation matching, immunotherapy design, and pharmacogenomics screening—increasingly at high, allele-level resolution, although the present study evaluates two-field accuracy (Results §5)—yet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and a novel </w:t>
      </w:r>
      <w:r>
        <w:rPr>
          <w:b/>
        </w:rPr>
        <w:t>Champion-Challenger</w:t>
      </w:r>
      <w:r>
        <w:t xml:space="preserve"> consensus method built on benchmark-calibrated per-locus routing with an auditable challenger fallback. ChampHLA eliminates per-tool installation burden, routes each tool to the appropriate input format automatically, and resolves cross-tool disagreement by routing each HLA gene to its benchmark-designated champion; the ensemble may override the champion's call only when the aggregate weighted evidence meets simultaneous criteria for support breadth, weight margin, tool diversity, and allele unambiguity, with reliability weighting serving as a calibration-guarded soundness layer rather than the accuracy driver.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majority voting</w:t>
      </w:r>
      <w:r>
        <w:t xml:space="preserve"> (0.3844; +11.7 percentage points; exact McNemar p&lt;0.0001) and matching </w:t>
      </w:r>
      <w:r>
        <w:rPr>
          <w:b/>
        </w:rPr>
        <w:t>the best single tool</w:t>
      </w:r>
      <w:r>
        <w:t xml:space="preserve"> (OptiType, 0.4975; McNemar p=0.74, not significant), by routing each locus to its benchmark-designated champion—recovering the single-tool accuracy ceiling that symmetric voting dilutes.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rate)—which Champion-Challenger matches exactly while exceeding the best single tool—so Champion-Challenger can serve as the default consensus in the recommended bimodal configuration at no accuracy cost; adding WGS to form a trimodal consensus did not improve performance (0.9591), identifying short-read WGS single-tool quality as the current accuracy bottleneck. To extend benchmarking to cohorts that lack gold-standard typing, ChampHLA also generates orthogonal, agreement-gated </w:t>
      </w:r>
      <w:r>
        <w:rPr>
          <w:b/>
        </w:rPr>
        <w:t>silver-standard candidate labels</w:t>
      </w:r>
      <w:r>
        <w:t>—Locityper genotyping against a Human Pangenome Reference Consortium (HPRC) pangenome database, annotated by Immuannot—which reproduced 1000 Genomes gold calls at 81.1% (two-field) / 82.2% (G-group) allele-level concordance across 30 samples (94.4% on a smaller per-sample-depth pilot). We present this as a feasibility result and a scalability direction for truth-less cohorts, not as a substitute for gold-standard typing.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pharmacogenomic safety, autoimmune genetics, and cancer immunotherapy, yet NGS-based typing remains fragmented across tools with incompatible inputs and no principled way to reconcile discordant predictions. We present </w:t>
      </w:r>
      <w:r>
        <w:rPr>
          <w:b/>
        </w:rPr>
        <w:t>ChampHLA</w:t>
      </w:r>
      <w:r>
        <w:t xml:space="preserve">, a reproducible Nextflow DSL2 pipeline integrating eight HLA typing tools (OptiType, HLA-HD, ArcasHLA, T1K, SpecHLA, Kourami, POLYSOLVER, Seq2HLA) in a containerised framework with a novel </w:t>
      </w:r>
      <w:r>
        <w:rPr>
          <w:b/>
        </w:rPr>
        <w:t>Champion-Challenger</w:t>
      </w:r>
      <w:r>
        <w:t xml:space="preserve"> ensemble: a per-gene benchmark champion whose call is overridden only when weighted ensemble evidence is simultaneously broad, marginal, tool-diverse, and unambiguous, with a fully auditable decision trace. Under 10-fold nested cross-validation with out-of-fold operating points, ChampHLA's advantage scaled with inter-tool discordance—on WGS it significantly beat majority voting (0.5012 vs 0.3844; exact McNemar p&lt;0.0001) and matched the best single tool via champion routing, while on the high-accuracy WES and RNA-seq modalities it matched majority voting (0.9436, 0.9408; not significant); an ablation showed the gain comes from routing, not weighting. ChampHLA also generates agreement-gated silver-standard truth (Locityper + HPRC pangenome + Immuannot) reproducing 1000 Genomes gold calls at 81.1% across 30 samples for cohorts lacking gold typing, and under frozen weights transferred to a non-1000G panel (NCI-60), matching majority voting.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Supplementary Figure S11</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6</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 The accuracy figures reported in this study are the held-out nested-cross-validation estimates produced by this re-analysis (</w:t>
      </w:r>
      <w:r>
        <w:rPr>
          <w:rFonts w:ascii="Consolas" w:hAnsi="Consolas"/>
        </w:rPr>
        <w:t>bin/nested_cv_champion_challenger.py</w:t>
      </w:r>
      <w:r>
        <w:t>, applied to the harmonised call tables). The released Nextflow pipeline applies a single frozen operating point for production: the bundled per-modality weights (</w:t>
      </w:r>
      <w:r>
        <w:rPr>
          <w:rFonts w:ascii="Consolas" w:hAnsi="Consolas"/>
        </w:rPr>
        <w:t>conf/tool_weights_{wgs,wes,rna}.json</w:t>
      </w:r>
      <w:r>
        <w:t>)—identical to the fixed, full-cohort benchmark-derived weights used throughout the nested-cross-validation analysis (Methods §3; Table 5)—together with a full-cohort default override policy that is the production analogue of the per-fold thresholds. The production path is not intended to re-estimate held-out accuracy; users benchmarking on their own truth-backed cohorts should use the nested-CV re-analysis to obtain unbiased estimates.</w:t>
      </w:r>
    </w:p>
    <w:p>
      <w:pPr>
        <w:pStyle w:val="Heading2"/>
      </w:pPr>
      <w:r>
        <w:t>3. Benchmark-Derived Confidence Weights and Calibration Guardrail</w:t>
      </w:r>
    </w:p>
    <w:p>
      <w:r>
        <w:t xml:space="preserve">ChampHLA learns per-tool reliability weights from benchmark data rather than treating all tools as equally trustworthy. For each tool and modality, a </w:t>
      </w:r>
      <w:r>
        <w:rPr>
          <w:b/>
        </w:rPr>
        <w:t>base reliability</w:t>
      </w:r>
      <w:r>
        <w:t xml:space="preserve"> weight is computed as the fraction of calls matching the ground-truth allele pair at two-field resolution on the full benchmark cohort (the values in Table 1 and Table 5); tools with high base reliability receive proportionally higher influence on the weighted consensus vote. These base-reliability and confidence weights are a fixed, benchmark-derived prior that is held constant across the nested cross-validation folds — only the per-gene champion identity and the four override-policy thresholds are re-selected strictly out of fold (Methods §2). We keep the weights fixed rather than re-estimating them per fold because they enter the reported held-out accuracy only weakly: the significant WGS gain is produced entirely by champion routing with zero overrides (Results §1), so the weights act only through the rarely-triggered override gate and the champion-missing fallback, and the ablation (Results §1) shows that reliability weighting does not drive the correct-call rate in any modality. The weights are therefore best understood as a soundness/auditability layer (Results §4) rather than as a fitted component of the accuracy estimate.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(three tests) with an exact McNemar test on discordant loci. The per-gene WGS McNemar tests and all secondary stratifications (allele commonness, ancestry, resolution) are reported as descriptive robustness checks rather than confirmatory tests; we note that the two significant per-gene WGS results (HLA-A and HLA-B) remain significant after Holm–Bonferroni correction across the three per-gene tests (both adjusted p&lt;0.005).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 The silver-truth reference databases use the latest IPD-IMGT/HLA release available at database-build time (3.64.0); this version affects only the silver-truth pipeline's internal allele set, whereas all gold-truth normalisation and primary accuracy scoring are pinned to IMGT/HLA 3.59.0 (Methods §6).</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MajorityVote (0.3844) by </w:t>
      </w:r>
      <w:r>
        <w:rPr>
          <w:b/>
        </w:rPr>
        <w:t>11.7 percentage points</w:t>
      </w:r>
      <w:r>
        <w:t xml:space="preserve"> and matching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paired comparison against the best single tool, by contrast, was </w:t>
      </w:r>
      <w:r>
        <w:rPr>
          <w:b/>
        </w:rPr>
        <w:t>not</w:t>
      </w:r>
      <w:r>
        <w:t xml:space="preserve"> significant (0.5012 vs 0.4975; exact McNemar p=0.74; b=19, c=16): on WGS, champion routing does not so much beat the strongest individual tool as recover the single-tool accuracy ceiling that symmetric majority voting dilutes across the many low-accuracy WGS callers.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17 of 390 held-out loci and was net corrective (13 corrective, 2 harmful, 2 neutral; Table 3, override audit).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Note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t xml:space="preserve">To keep the claims proportionate to the evidence, we grade the findings into four tiers. </w:t>
      </w:r>
      <w:r>
        <w:rPr>
          <w:b/>
        </w:rPr>
        <w:t>(i) Confirmed superiority:</w:t>
      </w:r>
      <w:r>
        <w:t xml:space="preserve"> Champion-Challenger significantly exceeds majority voting on WGS under nested cross-validation (0.5012 vs 0.3844; exact McNemar p&lt;0.0001) — the single headline result, and it is weight-independent (Table 3, sensitivity panel). </w:t>
      </w:r>
      <w:r>
        <w:rPr>
          <w:b/>
        </w:rPr>
        <w:t>(ii) Comparable performance:</w:t>
      </w:r>
      <w:r>
        <w:t xml:space="preserve"> on the high-accuracy WES and RNA-seq modalities, and in the multimodal analyses, Champion-Challenger matches majority voting within overlapping confidence intervals without regression. </w:t>
      </w:r>
      <w:r>
        <w:rPr>
          <w:b/>
        </w:rPr>
        <w:t>(iii) External robustness:</w:t>
      </w:r>
      <w:r>
        <w:t xml:space="preserve"> on the independent non-1000G cohorts (Results §8) the frozen policy transfers and tracks majority voting within overlapping confidence intervals — evidence of generalisation and does-no-harm behaviour, not of broad superiority. </w:t>
      </w:r>
      <w:r>
        <w:rPr>
          <w:b/>
        </w:rPr>
        <w:t>(iv) Exploratory:</w:t>
      </w:r>
      <w:r>
        <w:t xml:space="preserve"> the orthogonal silver-standard labels (Results §6), the flow-cytometry validation (Results §9), and the small germline external cohorts are proof-of-concept, powered for mechanism and orthogonality rather than for narrow confidence intervals.</w:t>
      </w:r>
    </w:p>
    <w:p>
      <w:r>
        <w:rPr>
          <w:b/>
        </w:rPr>
        <w:t>Table 1. Supported callers, modalities, evidence types, and benchmark-derived base reliability</w:t>
      </w:r>
    </w:p>
    <w:p>
      <w:r>
        <w:rPr>
          <w:i/>
        </w:rPr>
        <w:t>Base reliability = overall correct-call rate on the respective modality benchmark: the full 137-sample cohort (WGS) or the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0.498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0.260</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0.328</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0.080</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0.165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0.159</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RNA-seq scoring includes SpecHLA to benchmark against the full panel; the default production configuration excludes it (76.2% callable, 0.035 accuracy).</w:t>
      </w:r>
    </w:p>
    <w:p>
      <w:r>
        <w:rPr>
          <w:b/>
        </w:rPr>
        <w:t>Table 3 — statistical summary (paired tests, held-out nested CV).</w:t>
      </w:r>
      <w:r>
        <w:t xml:space="preserve"> </w:t>
      </w:r>
      <w:r>
        <w:rPr>
          <w:i/>
        </w:rPr>
        <w:t>b/c are discordant-locus counts for the exact McNemar test (b = ChampHLA correct and comparator not; c = the reverse).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Modality</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Best single tool</w:t>
            </w:r>
          </w:p>
        </w:tc>
        <w:tc>
          <w:tcPr>
            <w:tcW w:type="dxa" w:w="1234"/>
          </w:tcPr>
          <w:p>
            <w:r>
              <w:rPr>
                <w:b/>
              </w:rPr>
            </w:r>
            <w:r>
              <w:rPr>
                <w:b/>
              </w:rPr>
              <w:t>Δ CC−MV</w:t>
            </w:r>
          </w:p>
        </w:tc>
        <w:tc>
          <w:tcPr>
            <w:tcW w:type="dxa" w:w="1234"/>
          </w:tcPr>
          <w:p>
            <w:r>
              <w:rPr>
                <w:b/>
              </w:rPr>
            </w:r>
            <w:r>
              <w:rPr>
                <w:b/>
              </w:rPr>
              <w:t>McNemar p (CC vs MV)</w:t>
            </w:r>
          </w:p>
        </w:tc>
        <w:tc>
          <w:tcPr>
            <w:tcW w:type="dxa" w:w="1234"/>
          </w:tcPr>
          <w:p>
            <w:r>
              <w:rPr>
                <w:b/>
              </w:rPr>
            </w:r>
            <w:r>
              <w:rPr>
                <w:b/>
              </w:rPr>
              <w:t>McNemar p (CC vs best tool)</w:t>
            </w:r>
          </w:p>
        </w:tc>
      </w:tr>
      <w:tr>
        <w:tc>
          <w:tcPr>
            <w:tcW w:type="dxa" w:w="1234"/>
          </w:tcPr>
          <w:p>
            <w:r/>
            <w:r>
              <w:t>WGS</w:t>
            </w:r>
          </w:p>
        </w:tc>
        <w:tc>
          <w:tcPr>
            <w:tcW w:type="dxa" w:w="1234"/>
          </w:tcPr>
          <w:p>
            <w:r/>
            <w:r>
              <w:rPr>
                <w:b/>
              </w:rPr>
              <w:t>0.5012</w:t>
            </w:r>
            <w:r>
              <w:t xml:space="preserve"> [0.453, 0.549]</w:t>
            </w:r>
          </w:p>
        </w:tc>
        <w:tc>
          <w:tcPr>
            <w:tcW w:type="dxa" w:w="1234"/>
          </w:tcPr>
          <w:p>
            <w:r/>
            <w:r>
              <w:t>0.3844</w:t>
            </w:r>
          </w:p>
        </w:tc>
        <w:tc>
          <w:tcPr>
            <w:tcW w:type="dxa" w:w="1234"/>
          </w:tcPr>
          <w:p>
            <w:r/>
            <w:r>
              <w:t>OptiType 0.4975</w:t>
            </w:r>
          </w:p>
        </w:tc>
        <w:tc>
          <w:tcPr>
            <w:tcW w:type="dxa" w:w="1234"/>
          </w:tcPr>
          <w:p>
            <w:r/>
            <w:r>
              <w:rPr>
                <w:b/>
              </w:rPr>
              <w:t>+0.117</w:t>
            </w:r>
          </w:p>
        </w:tc>
        <w:tc>
          <w:tcPr>
            <w:tcW w:type="dxa" w:w="1234"/>
          </w:tcPr>
          <w:p>
            <w:r/>
            <w:r>
              <w:rPr>
                <w:b/>
              </w:rPr>
              <w:t>&lt;0.0001</w:t>
            </w:r>
            <w:r>
              <w:t xml:space="preserve"> (b=60, c=12)</w:t>
            </w:r>
          </w:p>
        </w:tc>
        <w:tc>
          <w:tcPr>
            <w:tcW w:type="dxa" w:w="1234"/>
          </w:tcPr>
          <w:p>
            <w:r/>
            <w:r>
              <w:t>0.74 (b=19, c=16), n.s.</w:t>
            </w:r>
          </w:p>
        </w:tc>
      </w:tr>
      <w:tr>
        <w:tc>
          <w:tcPr>
            <w:tcW w:type="dxa" w:w="1234"/>
          </w:tcPr>
          <w:p>
            <w:r/>
            <w:r>
              <w:t>WES</w:t>
            </w:r>
          </w:p>
        </w:tc>
        <w:tc>
          <w:tcPr>
            <w:tcW w:type="dxa" w:w="1234"/>
          </w:tcPr>
          <w:p>
            <w:r/>
            <w:r>
              <w:t>0.9436 [0.916, 0.963]</w:t>
            </w:r>
          </w:p>
        </w:tc>
        <w:tc>
          <w:tcPr>
            <w:tcW w:type="dxa" w:w="1234"/>
          </w:tcPr>
          <w:p>
            <w:r/>
            <w:r>
              <w:t>0.9359</w:t>
            </w:r>
          </w:p>
        </w:tc>
        <w:tc>
          <w:tcPr>
            <w:tcW w:type="dxa" w:w="1234"/>
          </w:tcPr>
          <w:p>
            <w:r/>
            <w:r>
              <w:t>OptiType 0.9231</w:t>
            </w:r>
          </w:p>
        </w:tc>
        <w:tc>
          <w:tcPr>
            <w:tcW w:type="dxa" w:w="1234"/>
          </w:tcPr>
          <w:p>
            <w:r/>
            <w:r>
              <w:t>+0.008</w:t>
            </w:r>
          </w:p>
        </w:tc>
        <w:tc>
          <w:tcPr>
            <w:tcW w:type="dxa" w:w="1234"/>
          </w:tcPr>
          <w:p>
            <w:r/>
            <w:r>
              <w:t>0.45 (b=5, c=2), n.s.</w:t>
            </w:r>
          </w:p>
        </w:tc>
        <w:tc>
          <w:tcPr>
            <w:tcW w:type="dxa" w:w="1234"/>
          </w:tcPr>
          <w:p>
            <w:r/>
            <w:r>
              <w:t>0.039 (b=10, c=2), nominal</w:t>
            </w:r>
          </w:p>
        </w:tc>
      </w:tr>
      <w:tr>
        <w:tc>
          <w:tcPr>
            <w:tcW w:type="dxa" w:w="1234"/>
          </w:tcPr>
          <w:p>
            <w:r/>
            <w:r>
              <w:t>RNA-seq</w:t>
            </w:r>
          </w:p>
        </w:tc>
        <w:tc>
          <w:tcPr>
            <w:tcW w:type="dxa" w:w="1234"/>
          </w:tcPr>
          <w:p>
            <w:r/>
            <w:r>
              <w:t>0.9408 [0.909, 0.962]</w:t>
            </w:r>
          </w:p>
        </w:tc>
        <w:tc>
          <w:tcPr>
            <w:tcW w:type="dxa" w:w="1234"/>
          </w:tcPr>
          <w:p>
            <w:r/>
            <w:r>
              <w:t>0.9502</w:t>
            </w:r>
          </w:p>
        </w:tc>
        <w:tc>
          <w:tcPr>
            <w:tcW w:type="dxa" w:w="1234"/>
          </w:tcPr>
          <w:p>
            <w:r/>
            <w:r>
              <w:t>HLA-HD 0.9429</w:t>
            </w:r>
          </w:p>
        </w:tc>
        <w:tc>
          <w:tcPr>
            <w:tcW w:type="dxa" w:w="1234"/>
          </w:tcPr>
          <w:p>
            <w:r/>
            <w:r>
              <w:t>−0.009</w:t>
            </w:r>
          </w:p>
        </w:tc>
        <w:tc>
          <w:tcPr>
            <w:tcW w:type="dxa" w:w="1234"/>
          </w:tcPr>
          <w:p>
            <w:r/>
            <w:r>
              <w:t>0.45 (b=2, c=5), n.s.</w:t>
            </w:r>
          </w:p>
        </w:tc>
        <w:tc>
          <w:tcPr>
            <w:tcW w:type="dxa" w:w="1234"/>
          </w:tcPr>
          <w:p>
            <w:r/>
            <w:r>
              <w:t>1.0, n.s.</w:t>
            </w:r>
          </w:p>
        </w:tc>
      </w:tr>
    </w:tbl>
    <w:p/>
    <w:p>
      <w:r>
        <w:rPr>
          <w:i/>
        </w:rPr>
        <w:t>Pre-specified primary comparison = Champion-Challenger vs MajorityVote (three modality tests). The Champion-Challenger-vs-best-single-tool tests are secondary/descriptive; the nominal WES value (p=0.039) does not survive Holm–Bonferroni correction across the three modality tests. Champion-Challenger's only robust paired advantage is therefore over majority voting on WGS.</w:t>
      </w:r>
    </w:p>
    <w:p>
      <w:r>
        <w:rPr>
          <w:b/>
        </w:rPr>
        <w:t>Table 3 — sensitivity of the reported accuracy to the weighting scheme (overall correct-call rate).</w:t>
      </w:r>
      <w:r>
        <w:t xml:space="preserve"> </w:t>
      </w:r>
      <w:r>
        <w:rPr>
          <w:i/>
        </w:rPr>
        <w:t>Same champion selection and, where applicable, override policy; only the tool weights or the override gate are changed.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Modality</w:t>
            </w:r>
          </w:p>
        </w:tc>
        <w:tc>
          <w:tcPr>
            <w:tcW w:type="dxa" w:w="2160"/>
          </w:tcPr>
          <w:p>
            <w:r>
              <w:rPr>
                <w:b/>
              </w:rPr>
            </w:r>
            <w:r>
              <w:rPr>
                <w:b/>
              </w:rPr>
              <w:t>Benchmark weights + override gate (reported)</w:t>
            </w:r>
          </w:p>
        </w:tc>
        <w:tc>
          <w:tcPr>
            <w:tcW w:type="dxa" w:w="2160"/>
          </w:tcPr>
          <w:p>
            <w:r>
              <w:rPr>
                <w:b/>
              </w:rPr>
            </w:r>
            <w:r>
              <w:rPr>
                <w:b/>
              </w:rPr>
              <w:t>Equal weights + override gate</w:t>
            </w:r>
          </w:p>
        </w:tc>
        <w:tc>
          <w:tcPr>
            <w:tcW w:type="dxa" w:w="2160"/>
          </w:tcPr>
          <w:p>
            <w:r>
              <w:rPr>
                <w:b/>
              </w:rPr>
            </w:r>
            <w:r>
              <w:rPr>
                <w:b/>
              </w:rPr>
              <w:t>Champion routing only (gate disabled)</w:t>
            </w:r>
          </w:p>
        </w:tc>
      </w:tr>
      <w:tr>
        <w:tc>
          <w:tcPr>
            <w:tcW w:type="dxa" w:w="2160"/>
          </w:tcPr>
          <w:p>
            <w:r/>
            <w:r>
              <w:t>WGS</w:t>
            </w:r>
          </w:p>
        </w:tc>
        <w:tc>
          <w:tcPr>
            <w:tcW w:type="dxa" w:w="2160"/>
          </w:tcPr>
          <w:p>
            <w:r/>
            <w:r>
              <w:t>0.5012</w:t>
            </w:r>
          </w:p>
        </w:tc>
        <w:tc>
          <w:tcPr>
            <w:tcW w:type="dxa" w:w="2160"/>
          </w:tcPr>
          <w:p>
            <w:r/>
            <w:r>
              <w:rPr>
                <w:b/>
              </w:rPr>
              <w:t>0.5012</w:t>
            </w:r>
          </w:p>
        </w:tc>
        <w:tc>
          <w:tcPr>
            <w:tcW w:type="dxa" w:w="2160"/>
          </w:tcPr>
          <w:p>
            <w:r/>
            <w:r>
              <w:rPr>
                <w:b/>
              </w:rPr>
              <w:t>0.5012</w:t>
            </w:r>
          </w:p>
        </w:tc>
      </w:tr>
      <w:tr>
        <w:tc>
          <w:tcPr>
            <w:tcW w:type="dxa" w:w="2160"/>
          </w:tcPr>
          <w:p>
            <w:r/>
            <w:r>
              <w:t>WES</w:t>
            </w:r>
          </w:p>
        </w:tc>
        <w:tc>
          <w:tcPr>
            <w:tcW w:type="dxa" w:w="2160"/>
          </w:tcPr>
          <w:p>
            <w:r/>
            <w:r>
              <w:t>0.9436</w:t>
            </w:r>
          </w:p>
        </w:tc>
        <w:tc>
          <w:tcPr>
            <w:tcW w:type="dxa" w:w="2160"/>
          </w:tcPr>
          <w:p>
            <w:r/>
            <w:r>
              <w:t>0.9333</w:t>
            </w:r>
          </w:p>
        </w:tc>
        <w:tc>
          <w:tcPr>
            <w:tcW w:type="dxa" w:w="2160"/>
          </w:tcPr>
          <w:p>
            <w:r/>
            <w:r>
              <w:t>0.9154</w:t>
            </w:r>
          </w:p>
        </w:tc>
      </w:tr>
      <w:tr>
        <w:tc>
          <w:tcPr>
            <w:tcW w:type="dxa" w:w="2160"/>
          </w:tcPr>
          <w:p>
            <w:r/>
            <w:r>
              <w:t>RNA-seq</w:t>
            </w:r>
          </w:p>
        </w:tc>
        <w:tc>
          <w:tcPr>
            <w:tcW w:type="dxa" w:w="2160"/>
          </w:tcPr>
          <w:p>
            <w:r/>
            <w:r>
              <w:t>0.9408</w:t>
            </w:r>
          </w:p>
        </w:tc>
        <w:tc>
          <w:tcPr>
            <w:tcW w:type="dxa" w:w="2160"/>
          </w:tcPr>
          <w:p>
            <w:r/>
            <w:r>
              <w:t>0.9502</w:t>
            </w:r>
          </w:p>
        </w:tc>
        <w:tc>
          <w:tcPr>
            <w:tcW w:type="dxa" w:w="2160"/>
          </w:tcPr>
          <w:p>
            <w:r/>
            <w:r>
              <w:t>0.9439</w:t>
            </w:r>
          </w:p>
        </w:tc>
      </w:tr>
    </w:tbl>
    <w:p/>
    <w:p>
      <w:r>
        <w:rPr>
          <w:i/>
        </w:rPr>
        <w:t xml:space="preserve">The significant WGS result is </w:t>
      </w:r>
      <w:r>
        <w:rPr>
          <w:i/>
        </w:rPr>
        <w:t>identical</w:t>
      </w:r>
      <w:r>
        <w:rPr>
          <w:i/>
        </w:rPr>
        <w:t xml:space="preserve"> under benchmark weights, equal weights, and champion-routing-only, confirming that it is pure per-gene champion routing and cannot be inflated by the fixed full-cohort weights (no override fires on WGS; see the override audit below). On the high-accuracy WES and RNA-seq modalities the weighting and override gate move the correct-call rate by only ~1–3 percentage points in either direction, well within the confidence intervals and never producing a significant advantage over majority voting (`nested_cv_sensitivity` via `--equal-weights` / `--no-override`).</w:t>
      </w:r>
    </w:p>
    <w:p>
      <w:r>
        <w:rPr>
          <w:b/>
        </w:rPr>
        <w:t>Table 3 — override-gate audit (held-out overrides, benchmark configuration).</w:t>
      </w:r>
      <w:r>
        <w:t xml:space="preserve"> </w:t>
      </w:r>
      <w:r>
        <w:rPr>
          <w:i/>
        </w:rPr>
        <w:t>Each triggered override is classified against truth as corrective (override right, champion wrong), harmful (override wrong, champion right), or neutral (both wrong).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Overrides fired</w:t>
            </w:r>
          </w:p>
        </w:tc>
        <w:tc>
          <w:tcPr>
            <w:tcW w:type="dxa" w:w="1728"/>
          </w:tcPr>
          <w:p>
            <w:r>
              <w:rPr>
                <w:b/>
              </w:rPr>
            </w:r>
            <w:r>
              <w:rPr>
                <w:b/>
              </w:rPr>
              <w:t>Corrective</w:t>
            </w:r>
          </w:p>
        </w:tc>
        <w:tc>
          <w:tcPr>
            <w:tcW w:type="dxa" w:w="1728"/>
          </w:tcPr>
          <w:p>
            <w:r>
              <w:rPr>
                <w:b/>
              </w:rPr>
            </w:r>
            <w:r>
              <w:rPr>
                <w:b/>
              </w:rPr>
              <w:t>Harmful</w:t>
            </w:r>
          </w:p>
        </w:tc>
        <w:tc>
          <w:tcPr>
            <w:tcW w:type="dxa" w:w="1728"/>
          </w:tcPr>
          <w:p>
            <w:r>
              <w:rPr>
                <w:b/>
              </w:rPr>
            </w:r>
            <w:r>
              <w:rPr>
                <w:b/>
              </w:rPr>
              <w:t>Neutral</w:t>
            </w:r>
          </w:p>
        </w:tc>
      </w:tr>
      <w:tr>
        <w:tc>
          <w:tcPr>
            <w:tcW w:type="dxa" w:w="1728"/>
          </w:tcPr>
          <w:p>
            <w:r/>
            <w:r>
              <w:t>WGS</w:t>
            </w:r>
          </w:p>
        </w:tc>
        <w:tc>
          <w:tcPr>
            <w:tcW w:type="dxa" w:w="1728"/>
          </w:tcPr>
          <w:p>
            <w:r/>
            <w:r>
              <w:t>0</w:t>
            </w:r>
          </w:p>
        </w:tc>
        <w:tc>
          <w:tcPr>
            <w:tcW w:type="dxa" w:w="1728"/>
          </w:tcPr>
          <w:p>
            <w:r/>
            <w:r>
              <w:t>0</w:t>
            </w:r>
          </w:p>
        </w:tc>
        <w:tc>
          <w:tcPr>
            <w:tcW w:type="dxa" w:w="1728"/>
          </w:tcPr>
          <w:p>
            <w:r/>
            <w:r>
              <w:t>0</w:t>
            </w:r>
          </w:p>
        </w:tc>
        <w:tc>
          <w:tcPr>
            <w:tcW w:type="dxa" w:w="1728"/>
          </w:tcPr>
          <w:p>
            <w:r/>
            <w:r>
              <w:t>0</w:t>
            </w:r>
          </w:p>
        </w:tc>
      </w:tr>
      <w:tr>
        <w:tc>
          <w:tcPr>
            <w:tcW w:type="dxa" w:w="1728"/>
          </w:tcPr>
          <w:p>
            <w:r/>
            <w:r>
              <w:t>WES</w:t>
            </w:r>
          </w:p>
        </w:tc>
        <w:tc>
          <w:tcPr>
            <w:tcW w:type="dxa" w:w="1728"/>
          </w:tcPr>
          <w:p>
            <w:r/>
            <w:r>
              <w:t>17</w:t>
            </w:r>
          </w:p>
        </w:tc>
        <w:tc>
          <w:tcPr>
            <w:tcW w:type="dxa" w:w="1728"/>
          </w:tcPr>
          <w:p>
            <w:r/>
            <w:r>
              <w:t>13</w:t>
            </w:r>
          </w:p>
        </w:tc>
        <w:tc>
          <w:tcPr>
            <w:tcW w:type="dxa" w:w="1728"/>
          </w:tcPr>
          <w:p>
            <w:r/>
            <w:r>
              <w:t>2</w:t>
            </w:r>
          </w:p>
        </w:tc>
        <w:tc>
          <w:tcPr>
            <w:tcW w:type="dxa" w:w="1728"/>
          </w:tcPr>
          <w:p>
            <w:r/>
            <w:r>
              <w:t>2</w:t>
            </w:r>
          </w:p>
        </w:tc>
      </w:tr>
      <w:tr>
        <w:tc>
          <w:tcPr>
            <w:tcW w:type="dxa" w:w="1728"/>
          </w:tcPr>
          <w:p>
            <w:r/>
            <w:r>
              <w:t>RNA-seq</w:t>
            </w:r>
          </w:p>
        </w:tc>
        <w:tc>
          <w:tcPr>
            <w:tcW w:type="dxa" w:w="1728"/>
          </w:tcPr>
          <w:p>
            <w:r/>
            <w:r>
              <w:t>1</w:t>
            </w:r>
          </w:p>
        </w:tc>
        <w:tc>
          <w:tcPr>
            <w:tcW w:type="dxa" w:w="1728"/>
          </w:tcPr>
          <w:p>
            <w:r/>
            <w:r>
              <w:t>0</w:t>
            </w:r>
          </w:p>
        </w:tc>
        <w:tc>
          <w:tcPr>
            <w:tcW w:type="dxa" w:w="1728"/>
          </w:tcPr>
          <w:p>
            <w:r/>
            <w:r>
              <w:t>1</w:t>
            </w:r>
          </w:p>
        </w:tc>
        <w:tc>
          <w:tcPr>
            <w:tcW w:type="dxa" w:w="1728"/>
          </w:tcPr>
          <w:p>
            <w:r/>
            <w:r>
              <w:t>0</w:t>
            </w:r>
          </w:p>
        </w:tc>
      </w:tr>
    </w:tbl>
    <w:p/>
    <w:p>
      <w:r>
        <w:rPr>
          <w:i/>
        </w:rPr>
        <w:t>The override gate never fires on WGS (the entire WGS gain is routing), is net corrective on WES (13 of 17 corrective), and fires only once on the near-fully-concordant RNA-seq benchmark. Source: `analysis/nested_cv_champion_challenger/</w:t>
      </w:r>
      <w:r>
        <w:t>/nested_cv_override_audit.tsv`.*</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majority voting in WGS</w:t>
      </w:r>
      <w:r>
        <w:t xml:space="preserve"> — the most discordant modality — through per-gene champion routing (0.5012 vs 0.3844; exact McNemar p&lt;0.0001), thereby recovering the best-single-tool ceiling (OptiType 0.4975; matched, p=0.74),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Supplementary Figure S11</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Supplementary Figure S11</w:t>
      </w:r>
      <w:r>
        <w:t>.</w:t>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Supplementary Figure S9</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Discordance rate = total events / gene-locus pairs; a locus may in principle carry more than one category, so rates are upper bounds on the fraction of affected loci. Category counts extracted from `discordance_summary.tsv` per benchmark root (IMGT/HLA 3.59.0).</w:t>
      </w:r>
    </w:p>
    <w:p>
      <w:pPr>
        <w:pStyle w:val="Heading2"/>
      </w:pPr>
      <w:r>
        <w:t>4. Confidence Calibration and Benchmark-Derived Weights</w:t>
      </w:r>
    </w:p>
    <w:p>
      <w:r>
        <w:t>The confidence-calibration characterisation in this section was computed on the full 137-sample WGS cohort, consistent with the primary benchmark. Because the ablation (Results §1) shows that weighting does not drive the reported accuracy, the guardrail functions as a soundness safeguard on the ensemble weights rather than as a contributor to the correct-call rates. The calibration guardrail system revealed that raw tool confidence signals are not directly comparable across HLA callers and cannot safely be used to amplify ensemble weights without empirical validation. In the WGS cohort, five of eight tools contributed confidence signals; three of five were blocked by the guardrail. OptiType's integer-linear-programming objective score saturated at 1.0 across virtually all calls regardless of whether the call was correct (Brier score=0.503, ECE=0.503), indicating that OptiType's confidence proxy is uninformative for weight boosting despite the tool's strong base accuracy (0.498). HLA-HD similarly showed saturation-driven miscalibration (Brier=0.550, ECE=0.583), and Kourami showed the most extreme miscalibration of all five tools (Brier=0.817, ECE=0.827). Under the guardrail, all three are assigned final weights equal to their base reliabilities (OptiType=0.498, HLA-HD=0.260, Kourami=0.159).</w:t>
      </w:r>
    </w:p>
    <w:p>
      <w:r>
        <w:t>The practical stakes of this miscalibration are best illustrated by a counterfactual. Without the guardrail, OptiType's saturated mean confidence of approximately 1.0 would push its blended final weight to approximately 0.7 × 0.4975 + 0.3 × 1.0 = 0.648—a ~30% relative increase over its base reliability, driven entirely by an uninformative proxy that is equally high for correct and incorrect calls. HLA-HD, with mean confidence 0.876 but base reliability 0.260, would be similarly over-weighted relative to its actual accuracy. The calibration guardrail prevents both inflations, ensuring that the weight ordering correctly reflects the tool accuracy ranking rather than confidence-proxy magnitude (</w:t>
      </w:r>
      <w:r>
        <w:rPr>
          <w:b/>
        </w:rPr>
        <w:t>Supplementary Figure S10</w:t>
      </w:r>
      <w:r>
        <w:t>).</w:t>
      </w:r>
    </w:p>
    <w:p>
      <w:r>
        <w:t xml:space="preserve">Two tools passed the guardrail: T1K (Brier=0.312, ECE=0.297), which retained a partial confidence boost resulting in a final weight of 0.339 (versus base reliability 0.328), and ArcasHLA (Brier=0.079, ECE=0.076), which showed excellent calibration but contributed negligible weight due to near-zero WGS accuracy (base reliability=0.080;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0.4818 (OptiType)</w:t>
            </w:r>
          </w:p>
        </w:tc>
        <w:tc>
          <w:tcPr>
            <w:tcW w:type="dxa" w:w="2160"/>
          </w:tcPr>
          <w:p>
            <w:r/>
            <w:r>
              <w:t>0.6934 (OptiType)</w:t>
            </w:r>
          </w:p>
        </w:tc>
        <w:tc>
          <w:tcPr>
            <w:tcW w:type="dxa" w:w="2160"/>
          </w:tcPr>
          <w:p>
            <w:r/>
            <w:r>
              <w:t>0.3139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Best single tool is scored on the same held-out denominator as the consensus rows (samples for which a tool emitted no call count as incorrect), so the comparison is like-for-like. On this basis Champion-Challenger equals its per-gene champion exactly at HLA-A and HLA-B (pure routing; no override fired) and slightly exceeds the best single tool at HLA-C, where the weighted-consensus fallback recovers calls on the samples for which the champion tool (T1K) produced no output. Champion-Challenger is therefore greater than or equal to the best single tool in every gene, confirming that the modality-level gain in Table 3 is the sum of per-gene champion routing (plus a small fallback contribution)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rPr>
                <w:b/>
              </w:rPr>
              <w:t>BimodalChampionChallenger (nested-CV)</w:t>
            </w:r>
          </w:p>
        </w:tc>
        <w:tc>
          <w:tcPr>
            <w:tcW w:type="dxa" w:w="2160"/>
          </w:tcPr>
          <w:p>
            <w:r/>
            <w:r>
              <w:t>0.9623</w:t>
            </w:r>
          </w:p>
        </w:tc>
        <w:tc>
          <w:tcPr>
            <w:tcW w:type="dxa" w:w="2160"/>
          </w:tcPr>
          <w:p>
            <w:r/>
            <w:r>
              <w:t>0.9528</w:t>
            </w:r>
          </w:p>
        </w:tc>
        <w:tc>
          <w:tcPr>
            <w:tcW w:type="dxa" w:w="2160"/>
          </w:tcPr>
          <w:p>
            <w:r/>
            <w:r>
              <w:t>0.9717</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i/>
        </w:rPr>
        <w:t>Bimodal Champion-Challenger (10-fold nested CV over the 106 matched subjects) matches BimodalMajorityVote overall (0.9623 vs 0.9623; exact McNemar p=1.0, two discordant loci each way) and exceeds the best single tool (0.9423); per gene it trails majority voting at HLA-A/-B and leads at HLA-C, a net wash (Results §7, Figure 5).</w:t>
      </w:r>
    </w:p>
    <w:p>
      <w:r>
        <w:rPr>
          <w:b/>
        </w:rPr>
        <w:t>Table 5.</w:t>
      </w:r>
      <w:r>
        <w:t xml:space="preserve"> </w:t>
      </w:r>
      <w:r>
        <w:rPr>
          <w:i/>
        </w:rPr>
        <w:t>Confidence calibration, guardrail status, and final weights (137-sample WGS cohort)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0.079</w:t>
            </w:r>
          </w:p>
        </w:tc>
        <w:tc>
          <w:tcPr>
            <w:tcW w:type="dxa" w:w="1440"/>
          </w:tcPr>
          <w:p>
            <w:r/>
            <w:r>
              <w:t>0.076</w:t>
            </w:r>
          </w:p>
        </w:tc>
        <w:tc>
          <w:tcPr>
            <w:tcW w:type="dxa" w:w="1440"/>
          </w:tcPr>
          <w:p>
            <w:r/>
            <w:r>
              <w:t>Pass</w:t>
            </w:r>
          </w:p>
        </w:tc>
        <w:tc>
          <w:tcPr>
            <w:tcW w:type="dxa" w:w="1440"/>
          </w:tcPr>
          <w:p>
            <w:r/>
            <w:r>
              <w:t>0.081</w:t>
            </w:r>
          </w:p>
        </w:tc>
      </w:tr>
      <w:tr>
        <w:tc>
          <w:tcPr>
            <w:tcW w:type="dxa" w:w="1440"/>
          </w:tcPr>
          <w:p>
            <w:r/>
            <w:r>
              <w:t>T1K</w:t>
            </w:r>
          </w:p>
        </w:tc>
        <w:tc>
          <w:tcPr>
            <w:tcW w:type="dxa" w:w="1440"/>
          </w:tcPr>
          <w:p>
            <w:r/>
            <w:r>
              <w:t>Read-support proxy</w:t>
            </w:r>
          </w:p>
        </w:tc>
        <w:tc>
          <w:tcPr>
            <w:tcW w:type="dxa" w:w="1440"/>
          </w:tcPr>
          <w:p>
            <w:r/>
            <w:r>
              <w:t>0.312</w:t>
            </w:r>
          </w:p>
        </w:tc>
        <w:tc>
          <w:tcPr>
            <w:tcW w:type="dxa" w:w="1440"/>
          </w:tcPr>
          <w:p>
            <w:r/>
            <w:r>
              <w:t>0.297</w:t>
            </w:r>
          </w:p>
        </w:tc>
        <w:tc>
          <w:tcPr>
            <w:tcW w:type="dxa" w:w="1440"/>
          </w:tcPr>
          <w:p>
            <w:r/>
            <w:r>
              <w:t>Pass</w:t>
            </w:r>
          </w:p>
        </w:tc>
        <w:tc>
          <w:tcPr>
            <w:tcW w:type="dxa" w:w="1440"/>
          </w:tcPr>
          <w:p>
            <w:r/>
            <w:r>
              <w:t>0.339</w:t>
            </w:r>
          </w:p>
        </w:tc>
      </w:tr>
      <w:tr>
        <w:tc>
          <w:tcPr>
            <w:tcW w:type="dxa" w:w="1440"/>
          </w:tcPr>
          <w:p>
            <w:r/>
            <w:r>
              <w:t>OptiType</w:t>
            </w:r>
          </w:p>
        </w:tc>
        <w:tc>
          <w:tcPr>
            <w:tcW w:type="dxa" w:w="1440"/>
          </w:tcPr>
          <w:p>
            <w:r/>
            <w:r>
              <w:t>Objective score</w:t>
            </w:r>
          </w:p>
        </w:tc>
        <w:tc>
          <w:tcPr>
            <w:tcW w:type="dxa" w:w="1440"/>
          </w:tcPr>
          <w:p>
            <w:r/>
            <w:r>
              <w:t>0.503</w:t>
            </w:r>
          </w:p>
        </w:tc>
        <w:tc>
          <w:tcPr>
            <w:tcW w:type="dxa" w:w="1440"/>
          </w:tcPr>
          <w:p>
            <w:r/>
            <w:r>
              <w:t>0.503</w:t>
            </w:r>
          </w:p>
        </w:tc>
        <w:tc>
          <w:tcPr>
            <w:tcW w:type="dxa" w:w="1440"/>
          </w:tcPr>
          <w:p>
            <w:r/>
            <w:r>
              <w:t>Fail (blocked)</w:t>
            </w:r>
          </w:p>
        </w:tc>
        <w:tc>
          <w:tcPr>
            <w:tcW w:type="dxa" w:w="1440"/>
          </w:tcPr>
          <w:p>
            <w:r/>
            <w:r>
              <w:t>0.498</w:t>
            </w:r>
          </w:p>
        </w:tc>
      </w:tr>
      <w:tr>
        <w:tc>
          <w:tcPr>
            <w:tcW w:type="dxa" w:w="1440"/>
          </w:tcPr>
          <w:p>
            <w:r/>
            <w:r>
              <w:t>HLA-HD</w:t>
            </w:r>
          </w:p>
        </w:tc>
        <w:tc>
          <w:tcPr>
            <w:tcW w:type="dxa" w:w="1440"/>
          </w:tcPr>
          <w:p>
            <w:r/>
            <w:r>
              <w:t>Read-support proxy</w:t>
            </w:r>
          </w:p>
        </w:tc>
        <w:tc>
          <w:tcPr>
            <w:tcW w:type="dxa" w:w="1440"/>
          </w:tcPr>
          <w:p>
            <w:r/>
            <w:r>
              <w:t>0.550</w:t>
            </w:r>
          </w:p>
        </w:tc>
        <w:tc>
          <w:tcPr>
            <w:tcW w:type="dxa" w:w="1440"/>
          </w:tcPr>
          <w:p>
            <w:r/>
            <w:r>
              <w:t>0.583</w:t>
            </w:r>
          </w:p>
        </w:tc>
        <w:tc>
          <w:tcPr>
            <w:tcW w:type="dxa" w:w="1440"/>
          </w:tcPr>
          <w:p>
            <w:r/>
            <w:r>
              <w:t>Fail (blocked)</w:t>
            </w:r>
          </w:p>
        </w:tc>
        <w:tc>
          <w:tcPr>
            <w:tcW w:type="dxa" w:w="1440"/>
          </w:tcPr>
          <w:p>
            <w:r/>
            <w:r>
              <w:t>0.260</w:t>
            </w:r>
          </w:p>
        </w:tc>
      </w:tr>
      <w:tr>
        <w:tc>
          <w:tcPr>
            <w:tcW w:type="dxa" w:w="1440"/>
          </w:tcPr>
          <w:p>
            <w:r/>
            <w:r>
              <w:t>Kourami</w:t>
            </w:r>
          </w:p>
        </w:tc>
        <w:tc>
          <w:tcPr>
            <w:tcW w:type="dxa" w:w="1440"/>
          </w:tcPr>
          <w:p>
            <w:r/>
            <w:r>
              <w:t>Read-coverage proxy</w:t>
            </w:r>
          </w:p>
        </w:tc>
        <w:tc>
          <w:tcPr>
            <w:tcW w:type="dxa" w:w="1440"/>
          </w:tcPr>
          <w:p>
            <w:r/>
            <w:r>
              <w:t>0.817</w:t>
            </w:r>
          </w:p>
        </w:tc>
        <w:tc>
          <w:tcPr>
            <w:tcW w:type="dxa" w:w="1440"/>
          </w:tcPr>
          <w:p>
            <w:r/>
            <w:r>
              <w:t>0.827</w:t>
            </w:r>
          </w:p>
        </w:tc>
        <w:tc>
          <w:tcPr>
            <w:tcW w:type="dxa" w:w="1440"/>
          </w:tcPr>
          <w:p>
            <w:r/>
            <w:r>
              <w:t>Fail (blocked)</w:t>
            </w:r>
          </w:p>
        </w:tc>
        <w:tc>
          <w:tcPr>
            <w:tcW w:type="dxa" w:w="1440"/>
          </w:tcPr>
          <w:p>
            <w:r/>
            <w:r>
              <w:t>0.159</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0.165</w:t>
            </w:r>
          </w:p>
        </w:tc>
      </w:tr>
    </w:tbl>
    <w:p/>
    <w:p>
      <w:r>
        <w:rPr>
          <w:i/>
        </w:rPr>
        <w:t>Guardrail threshold: Brier and ECE both &lt; 0.35 required for confidence boost. Blocked tools: effective_confidence = base_reliability, giving final_weight = base_reliability. Computed on the full 137-sample WGS cohort; the guardrail decisions are identical to those obtained on the wave2 training split, confirming that the calibration ranking is cohort-stable.</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3328"/>
            <wp:docPr id="4" name="Picture 4"/>
            <wp:cNvGraphicFramePr>
              <a:graphicFrameLocks noChangeAspect="1"/>
            </wp:cNvGraphicFramePr>
            <a:graphic>
              <a:graphicData uri="http://schemas.openxmlformats.org/drawingml/2006/picture">
                <pic:pic>
                  <pic:nvPicPr>
                    <pic:cNvPr id="0" name="figure_4_confidence_calibration.png"/>
                    <pic:cNvPicPr/>
                  </pic:nvPicPr>
                  <pic:blipFill>
                    <a:blip r:embed="rId12"/>
                    <a:stretch>
                      <a:fillRect/>
                    </a:stretch>
                  </pic:blipFill>
                  <pic:spPr>
                    <a:xfrm>
                      <a:off x="0" y="0"/>
                      <a:ext cx="5486400" cy="254332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S1</w:t>
      </w:r>
      <w:r>
        <w:t xml:space="preserve"> (commonness) and </w:t>
      </w:r>
      <w:r>
        <w:rPr>
          <w:b/>
        </w:rPr>
        <w:t>Supplementary Table S2</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Supplementary Figure S13A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Supplementary Figure S13B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 xml:space="preserve">32:01)—and the forthcoming HPRC v2 release (200+ samples) is expected to close most of the residual HLA-A gap. Even at current scale, the agreement-gated pipeline provides useful silver-standard </w:t>
      </w:r>
      <w:r>
        <w:rPr>
          <w:i/>
        </w:rPr>
        <w:t>candidate</w:t>
      </w:r>
      <w:r>
        <w:t xml:space="preserve"> labels for benchmarking ChampHLA on cohorts lacking gold-standard HLA typing—a scalability direction that extends the framework beyond the public 1000 Genomes panel rather than a validated replacement for experimental gold-standard typing, for which the current 81.1% concordance is not yet sufficient.</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5</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 Applying the Champion-Challenger consensus to the same bimodal call set under 10-fold nested cross-validation reproduced the majority-voting result exactly (0.9623 vs 0.9623; exact McNemar p=1.0, two discordant loci each way) while exceeding the best single tool (HLA-HD RNA-seq, 0.9423; Table 4): in the recommended bimodal configuration Champion-Challenger therefore matches majority voting without regression and beats any individual tool, so it can serve as the default consensus—providing calibration-guarded, auditable calls at no accuracy cost—rather than being reserved for the discordant WGS modality where it produces a significant gain.</w:t>
      </w:r>
    </w:p>
    <w:p>
      <w:r>
        <w:t xml:space="preserve">Adding WGS as a third modality did not improve the bimodal headline: TrimodalMajorityVote achieved </w:t>
      </w:r>
      <w:r>
        <w:rPr>
          <w:b/>
        </w:rPr>
        <w:t>0.9591</w:t>
      </w:r>
      <w:r>
        <w:t xml:space="preserve"> overall correct-call rate (callable rate=0.9906; </w:t>
      </w:r>
      <w:r>
        <w:rPr>
          <w:b/>
        </w:rPr>
        <w:t>Supplementary Figure S12</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5.</w:t>
      </w:r>
      <w:r>
        <w:t xml:space="preserve"> </w:t>
      </w:r>
      <w:r>
        <w:rPr>
          <w:i/>
        </w:rPr>
        <w:t>Bimodal WES+RNA per-gene comparison (n=106 matched subjects; 10-fold nested cross-validation).</w:t>
      </w:r>
      <w:r>
        <w:t xml:space="preserve"> Grouped bars show overall correct-call rate at HLA-A, HLA-B, and HLA-C for bimodal MajorityVote, bimodal Champion-Challenger, and the best single tool (per gene, across WES and RNA-seq callers). Overall, bimodal Champion-Challenger matches bimodal majority voting exactly (0.9623 vs 0.9623; exact McNemar p=1.0) and both exceed the best single tool (0.9423); per gene the two consensus methods trade the lead—majority voting at HLA-A and -B, Champion-Challenger at HLA-C—a net wash. In the recommended bimodal configuration Champion-Challenger can therefore serve as the default consensus at no accuracy cost while adding calibration-guarded, auditable calls.</w:t>
      </w:r>
    </w:p>
    <w:p>
      <w:pPr>
        <w:jc w:val="center"/>
      </w:pPr>
      <w:r>
        <w:drawing>
          <wp:inline xmlns:a="http://schemas.openxmlformats.org/drawingml/2006/main" xmlns:pic="http://schemas.openxmlformats.org/drawingml/2006/picture">
            <wp:extent cx="5486400" cy="1889709"/>
            <wp:docPr id="5" name="Picture 5"/>
            <wp:cNvGraphicFramePr>
              <a:graphicFrameLocks noChangeAspect="1"/>
            </wp:cNvGraphicFramePr>
            <a:graphic>
              <a:graphicData uri="http://schemas.openxmlformats.org/drawingml/2006/picture">
                <pic:pic>
                  <pic:nvPicPr>
                    <pic:cNvPr id="0" name="figure_09_bimodal_per_gene.png"/>
                    <pic:cNvPicPr/>
                  </pic:nvPicPr>
                  <pic:blipFill>
                    <a:blip r:embed="rId13"/>
                    <a:stretch>
                      <a:fillRect/>
                    </a:stretch>
                  </pic:blipFill>
                  <pic:spPr>
                    <a:xfrm>
                      <a:off x="0" y="0"/>
                      <a:ext cx="5486400" cy="1889709"/>
                    </a:xfrm>
                    <a:prstGeom prst="rect"/>
                  </pic:spPr>
                </pic:pic>
              </a:graphicData>
            </a:graphic>
          </wp:inline>
        </w:drawing>
      </w:r>
    </w:p>
    <w:p>
      <w:r>
        <w:rPr>
          <w:b/>
        </w:rPr>
        <w:t>Figure 6.</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6" name="Picture 6"/>
            <wp:cNvGraphicFramePr>
              <a:graphicFrameLocks noChangeAspect="1"/>
            </wp:cNvGraphicFramePr>
            <a:graphic>
              <a:graphicData uri="http://schemas.openxmlformats.org/drawingml/2006/picture">
                <pic:pic>
                  <pic:nvPicPr>
                    <pic:cNvPr id="0" name="figure_11_champion_challenger_combined.png"/>
                    <pic:cNvPicPr/>
                  </pic:nvPicPr>
                  <pic:blipFill>
                    <a:blip r:embed="rId14"/>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(Supplementary Figure S14).</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(Supplementary Figure S14C)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7A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7B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7.</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ure_14_flow_hla_a2.png"/>
                    <pic:cNvPicPr/>
                  </pic:nvPicPr>
                  <pic:blipFill>
                    <a:blip r:embed="rId15"/>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Materials (Supplementary Notes S1–S3)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Supplementary Figure S11</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Supplementary Figure S11</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Higher-Confidence WES Typing (research-grade)</w:t>
      </w:r>
    </w:p>
    <w:p>
      <w:r>
        <w:t xml:space="preserve">For research settings where higher-confidence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 A practical consequence is that the effective RNA-seq panel is smaller than eight tools: Seq2HLA (29/107 callable) and SpecHLA (76.2% callable at 0.035 accuracy) contribute little to RNA-seq typing, and the RNA-seq Champion-Challenger accuracy is reported from a SpecHLA-inclusive scoring run to benchmark against the largest possible panel—default production RNA-seq typing relies on the OptiType/HLA-HD/ArcasHLA/T1K core. The full eight-tool panel is realised on DNA (WGS/WES) inputs.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A methodological caveat follows directly from these results and is worth stating plainly. ChampHLA's only statistically significant accuracy advantage—on WGS—is produced by per-gene champion routing, which is operationally equivalent to selecting the benchmark-best tool for each locus; the four-gate override and the calibration guardrail did not themselves change the WGS outcome (zero overrides fired) and are neutral-to-corrective safety and auditability mechanisms rather than accuracy drivers (Results §1, §4). The framework's practical accuracy therefore rests on the quality of the frozen, benchmark-designated champion, and the external cohorts show that this is also its principal failure mode: in the two arms where ChampHLA trails majority voting (NCI-60 RNA-seq and the IHWG reference cells) the cause is a single modality-specific champion that is strong on the 1000 Genomes calibration cohort but weak out of distribution (Results §8). Because champion selection cannot be re-estimated on a new cohort that lacks gold-standard truth, the appropriate champions must be inherited from the closest available benchmark, and per-population champion and weight learning (above) is the primary route to closing this gap. We therefore position ChampHLA's contribution as a reproducible, auditable consensus framework—with calibration governance and a discordance-scaled routing benefit that is decisive on the hardest modality and does no harm where tools already agree—rather than as a novel algorithm that uniformly outperforms simpler baselines.</w:t>
      </w:r>
    </w:p>
    <w:p>
      <w:r>
        <w:t>Several of the confirmatory analyses are deliberately small and are presented as proof-of-concept rather than powered estimates: the orthogonal flow-cytometry validation covers 15 informative donors (with two data-integrity catches), the silver-standard-truth concordance is powered at 30 samples (with a three-sample per-depth pilot), and the germline external cohorts (GIAB trio, HG002, IHWG reference cells) comprise three to four samples each. Their value lies in orthogonality and mechanism—protein-level truth, assembly-based truth, and out-of-distribution transfer of the frozen policy—rather than in narrow confidence intervals; larger replications are planned.</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Class II typing (clinically important for transplantation matching) is therefore left to future work as a priority for the next benchmark cycle.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Materials (Supplementary Notes S3–S5).</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majority voting (0.3844; +11.7 percentage points; exact McNemar p&lt;0.0001) and level with the best single tool (OptiType 0.4975; p=0.74),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 The evidence-gated override itself rarely changed the outcome—it triggered no overrides on WGS and did not significantly alter overall accuracy in any modality—and is therefore best understood not as an accuracy booster but as an auditable, predominantly corrective safety mechanism that retains the champion's call unless the weighted ensemble evidence is simultaneously broad, marginal, and unambiguous. Likewise, the calibration guardrail is a soundness contribution—it prevents an uninformative confidence proxy from distorting the weights—rather than a driver of the reported accuracy.</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 These findings also delineate when each part of ChampHLA matters. Where paired WES and RNA-seq are available, bimodal consensus is the recommended configuration; there Champion-Challenger matches bimodal majority voting exactly (0.9623 vs 0.9623; McNemar p=1.0) while beating the best single tool (0.9423), so it can serve as the default consensus—delivering calibration-guarded, auditable calls at no accuracy cost—rather than being reserved for difficult modalities. Where only WGS is available—as in many biobank, archival, or DNA-only cohorts—champion routing provides a significant and fully auditable accuracy gain over majority voting, recovering the best-single-tool accuracy ceiling that symmetric voting dilutes (Results §1). The contribution of ChampHLA is therefore the combination of a reproducible multi-tool substrate, a calibration-governed and auditable consensus that does no harm on concordant data and helps on discordant data, and an orthogonal silver-standard-truth capability for cohorts without gold-standard typing—rather than a uniformly higher accuracy than majority voting across all modalities.</w:t>
      </w:r>
    </w:p>
    <w:p>
      <w:pPr>
        <w:pStyle w:val="Heading1"/>
      </w:pPr>
      <w:r>
        <w:t>Supplementary Materials</w:t>
      </w:r>
    </w:p>
    <w:p>
      <w:r>
        <w:t xml:space="preserve">All supplementary items are provided in a separate document, </w:t>
      </w:r>
      <w:r>
        <w:rPr>
          <w:b/>
        </w:rPr>
        <w:t>ChampHLA — Supplementary Materials</w:t>
      </w:r>
      <w:r>
        <w:t xml:space="preserve"> (</w:t>
      </w:r>
      <w:r>
        <w:rPr>
          <w:rFonts w:ascii="Consolas" w:hAnsi="Consolas"/>
        </w:rPr>
        <w:t>docs/CHAMPHLA_MANUSCRIPT_V3_SUPPLEMENTARY.md</w:t>
      </w:r>
      <w:r>
        <w:t xml:space="preserve"> / </w:t>
      </w:r>
      <w:r>
        <w:rPr>
          <w:rFonts w:ascii="Consolas" w:hAnsi="Consolas"/>
        </w:rPr>
        <w:t>.docx</w:t>
      </w:r>
      <w:r>
        <w:t xml:space="preserve">): Supplementary Figures S1–S14, Supplementary Tables S1–S3, and Supplementary Notes S1–S8. Each supplementary figure is embedded there with its source stem under </w:t>
      </w:r>
      <w:r>
        <w:rPr>
          <w:rFonts w:ascii="Consolas" w:hAnsi="Consolas"/>
        </w:rPr>
        <w:t>analysis/figures_final/</w:t>
      </w:r>
      <w:r>
        <w:t>.</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an HPC driver is provided as </w:t>
      </w:r>
      <w:r>
        <w:rPr>
          <w:rFonts w:ascii="Consolas" w:hAnsi="Consolas"/>
        </w:rPr>
        <w:t>slurm_nested_cv.sh</w:t>
      </w:r>
      <w:r>
        <w:t xml:space="preserve">, and a caption-consistent, journal-ready figure set is assembled by </w:t>
      </w:r>
      <w:r>
        <w:rPr>
          <w:rFonts w:ascii="Consolas" w:hAnsi="Consolas"/>
        </w:rPr>
        <w:t>bin/build_submission_figures.py</w:t>
      </w:r>
      <w:r>
        <w:t xml:space="preserve">. The bimodal WES+RNA Champion-Challenger result (Table 4) is produced by </w:t>
      </w:r>
      <w:r>
        <w:rPr>
          <w:rFonts w:ascii="Consolas" w:hAnsi="Consolas"/>
        </w:rPr>
        <w:t>bin/nested_cv_champion_challenger.py --bimodal</w:t>
      </w:r>
      <w:r>
        <w:t xml:space="preserve">.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at the time of submission.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at the time of submission.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at the time of submission.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Hurley, C.K. et al. (2020). Common, intermediate and well-documented HLA alleles in world populations: CIWD version 3.0.0. </w:t>
      </w:r>
      <w:r>
        <w:rPr>
          <w:i/>
        </w:rPr>
        <w:t>HLA</w:t>
      </w:r>
      <w:r>
        <w:t>, 95, 516–531.</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Reinhold, W.C. et al. (2019). RNA sequencing of the NCI-60: integration into CellMiner and CellMiner CDB. </w:t>
      </w:r>
      <w:r>
        <w:rPr>
          <w:i/>
        </w:rPr>
        <w:t>Cancer Research</w:t>
      </w:r>
      <w:r>
        <w:t>, 79, 3514–3524.</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