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Supplementary material: plurality-centered ChampHLA benchmark</w:t>
      </w:r>
    </w:p>
    <w:p>
      <w:pPr>
        <w:pStyle w:val="Heading1"/>
      </w:pPr>
      <w:r>
        <w:t>S1. Governance and evidence map</w:t>
      </w:r>
    </w:p>
    <w:p>
      <w:r>
        <w:t>The active manuscript is the plurality-centered benchmark. The conditional Guarded CC manuscript is archived as superseded, while all historical method artifacts remain immutable. The retrospective primary amendment records that method framing and development denominators were visible at selection time; it cannot authorize prospective confirmation until signed. Every result has an explicit evidence role, validity state, canonical row key, source artifact, and checksum in result_registry.tsv.</w:t>
      </w:r>
    </w:p>
    <w:p>
      <w:pPr>
        <w:pStyle w:val="Heading1"/>
      </w:pPr>
      <w:r>
        <w:t>S2. Complete caller and integration head-to-head</w:t>
      </w:r>
    </w:p>
    <w:p>
      <w:r>
        <w:t>The machine-generated development comparison is stored in artifacts/generated/development_evaluation/head_to_head.tsv. It contains every deployable method in the modality-specific comparator family, paired comparator-minus-plurality differences, donor-clustered simultaneous intervals, unadjusted and Holm-adjusted tests, and missing-row validity flags. The compact view is artifacts/generated/consensus_head_to_head.md.</w:t>
      </w:r>
    </w:p>
    <w:p>
      <w:r>
        <w:t>The caller chosen as best after observing outcomes is explicitly descriptive. Inference is retained for every frozen caller; it is not rerun only against the selected winner. A comparator with an absent locus row is marked incomplete, its comparison is not qualifying, and the prospective gates fail closed.</w:t>
      </w:r>
    </w:p>
    <w:p>
      <w:pPr>
        <w:pStyle w:val="Heading1"/>
      </w:pPr>
      <w:r>
        <w:t>S3. Development plurality results</w:t>
      </w:r>
    </w:p>
    <w:p>
      <w:r>
        <w:t>Pair-level plurality called 365 of 390 eligible WES loci correctly [RESULT:DEV_WES_CONSENSUS]. The two-thirds abstaining baseline called 328 of 390 correctly [RESULT:DEV_TT_WES_BASE], while the archived Guarded CC analysis recorded 369 of 390 [RESULT:DEV_TT_WES_GCC]. These are development artifacts created before the partial-call correction and corrected end-to-end rerun.</w:t>
      </w:r>
    </w:p>
    <w:p>
      <w:r>
        <w:t>For bulk RNA-seq, plurality called 306 of 321 eligible loci correctly [RESULT:DEV_RNA_CONSENSUS]. The two-thirds baseline called 296 of 321 correctly [RESULT:DEV_TT_RNA_BASE], while the archived Guarded CC artifact also recorded 306 of 321 [RESULT:DEV_TT_RNA_GCC]. These values are provisional development evidence and do not establish prospective equivalence.</w:t>
      </w:r>
    </w:p>
    <w:p>
      <w:pPr>
        <w:pStyle w:val="Heading1"/>
      </w:pPr>
      <w:r>
        <w:t>S4. Baseline ladder and historical integration ablations</w:t>
      </w:r>
    </w:p>
    <w:p>
      <w:r>
        <w:t>The complete comparator manifest is configs/comparator_manifest.json. Integration and historical-ablation counts are generated from its kind field. It retains raw Champion–Challenger, Guarded CC, MV-floor, MetaConsensus, WeightedConsensus, RefFormer, and EvidenceGatedCC regardless of outcome. Simple two-thirds consensus remains a coverage-accuracy sensitivity baseline rather than the primary reference, and the candidate-set oracle remains outside the deployable family.</w:t>
      </w:r>
    </w:p>
    <w:p>
      <w:r>
        <w:t>RefFormer did not pass its frozen retention gate [RESULT:REFFORMER_GATE]. EvidenceGatedCC did not pass its development gate [RESULT:EGCC_GATE]. NCI-60 MetaConsensus transfer analyses remain exploratory and are not presented as plurality confirmation [RESULT:META_NCI60_WES] [RESULT:META_NCI60_RNA].</w:t>
      </w:r>
    </w:p>
    <w:p>
      <w:pPr>
        <w:pStyle w:val="Heading1"/>
      </w:pPr>
      <w:r>
        <w:t>S5. Tie, partial-call, and missingness sensitivities</w:t>
      </w:r>
    </w:p>
    <w:p>
      <w:r>
        <w:t>artifacts/generated/development_evaluation/caller_call_status.tsv reports complete, partial, and missing records for each caller, assay, and locus. secondary_endpoints.tsv reports plurality call rate, called-only accuracy, allele accuracy, tie count, post-selection best-caller summary, and the candidate-generation oracle. The corrected rerun regenerates these tables from native outputs; legacy zero partial-call counts are not interpreted as evidence that native partial calls were absent because the historical parser collapsed the missing-second-allele state.</w:t>
      </w:r>
    </w:p>
    <w:p>
      <w:r>
        <w:t>Sensitivity analyses retain the fixed eligible-truth denominator. Partial and missing calls remain incorrect for genotype accuracy; allele accuracy may credit the one retained allele through multiset matching. Tie resolution is tested for caller-order invariance and reported separately from support.</w:t>
      </w:r>
    </w:p>
    <w:p>
      <w:pPr>
        <w:pStyle w:val="Heading1"/>
      </w:pPr>
      <w:r>
        <w:t>S6. Per-gene, population, and external-stratum outputs</w:t>
      </w:r>
    </w:p>
    <w:p>
      <w:r>
        <w:t>per_gene_results.tsv and stratified_results.tsv are generated directly by the evaluator. external_strata_results.tsv reports donor-independent and new-library overlapping-donor cohorts separately. The evaluator refuses an input containing multiple independence strata unless the prospective design names one primary stratum, and it marks all other strata as not pooled into the primary estimate. Repeated tissues and libraries use the donor identifier as the resampling cluster.</w:t>
      </w:r>
    </w:p>
    <w:p>
      <w:pPr>
        <w:pStyle w:val="Heading1"/>
      </w:pPr>
      <w:r>
        <w:t>S7. Invalid WGS diagnostics</w:t>
      </w:r>
    </w:p>
    <w:p>
      <w:r>
        <w:t>The legacy WGS lane is retained only as an invalid diagnostic. Pair-level plurality recorded 164 of 411 loci [RESULT:DEV_WGS_CONSENSUS], the two-thirds baseline recorded 79 of 411 [RESULT:DEV_WGS_LEGACY_BASE], and Guarded CC recorded 205 of 411 [RESULT:DEV_WGS_LEGACY_GCC]. MetaConsensus from the same defective source is likewise invalid [RESULT:META_WGS_INTERNAL]. None of these records enters a gate, pooled estimate, primary figure, abstract, or WGS performance conclusion.</w:t>
      </w:r>
    </w:p>
    <w:p>
      <w:r>
        <w:t>The defect was an input slice that omitted HLA alternate-contig mappings and mates outside the chromosome-restricted interval. The corrected production lane starts from each full CRAM, performs mate-aware extraction, retains the chr6 MHC and HLA-A/B/C alternate contigs, runs the frozen five-caller WGS panel, and requires complete native-output, parser, reference, environment, and named human-review audits before truth joining.</w:t>
      </w:r>
    </w:p>
    <w:p>
      <w:pPr>
        <w:pStyle w:val="Heading1"/>
      </w:pPr>
      <w:r>
        <w:t>S8. Dataset inventory and evidence boundaries</w:t>
      </w:r>
    </w:p>
    <w:p>
      <w:r>
        <w:t>The version-controlled discovery package contains 11 dataset/assay candidates, 10 truth sources, 391 crosswalk rows, and 111 truth-free pilot rows. These are inventory counts, not performance estimates. Its audit records per-lane states: inventory, metadata verified, truth verified, executable, prediction frozen, and evaluated.</w:t>
      </w:r>
    </w:p>
    <w:p>
      <w:r>
        <w:t>HPRC Release 2 has a feasible truth-blind WGS roster but still requires independent phased-assembly truth generation and audit. NCI-60 RNA is an exploratory strict pilot; CCLE WES has verified metadata but no complete accuracy-eligible A/B/C truth. AFGR, FNLCR, DICE, transplant WES, and other controlled candidates remain blocked until authorization, sample mapping, truth independence, and access terms are verified. Rejected or circular truth sources remain visible and cannot enter denominators.</w:t>
      </w:r>
    </w:p>
    <w:p>
      <w:pPr>
        <w:pStyle w:val="Heading1"/>
      </w:pPr>
      <w:r>
        <w:t>S9. Runtime and resource reporting</w:t>
      </w:r>
    </w:p>
    <w:p>
      <w:r>
        <w:t>The corrected WES configuration gives POLYSOLVER a chromosome-6 HLA-region plus unmapped-read extract to satisfy the frozen storage policy. This changes the caller input relative to the historical full-alignment configuration, so new results are reported separately and are not directly comparable with the historical 357/390 result [RESULT:DEV_WES_POLYSOLVER_FULL_ALIGNMENT]. A second, technical compatibility correction derives a wrapper whose three hg38 interval tokens use 6 or chr6 exactly as declared by the BAM header; it does not change the genomic intervals. The transformation verifies the pinned source SHA-256, substitutes exactly three contig tokens when needed, applies the temporary-directory relocation separately, and records the derived wrapper hash. Both changes are disclosed independently in the decision records.</w:t>
      </w:r>
    </w:p>
    <w:p>
      <w:r>
        <w:t>The corrected execution manifest records caller wall time, CPU time, peak memory, scheduler status, input bytes, output bytes, container digest, command, and reference checksums. Empty output or an absent scheduler process is an error, not a missing call. Runtime tables will be generated only from the corrected frozen runs so historical pilot resources are not mistaken for the production benchmark.</w:t>
      </w:r>
    </w:p>
    <w:p>
      <w:pPr>
        <w:pStyle w:val="Heading2"/>
      </w:pPr>
      <w:r>
        <w:t>Run disposition and transport diagnostics</w:t>
      </w:r>
    </w:p>
    <w:p>
      <w:r>
        <w:t>The release build generates a run-disposition table from the immutable staging and caller ledgers. It reports run identifier and role, sample, modality, attempt, scheduler job, terminal state, failure class, and supersession without reporting pilot accuracy. The pre-hardening HG00097 CRAM CRC event is retained as an infrastructure transport diagnostic. It is neither a caller result nor evidence of a plurality or WGS accuracy limitation. The first hardened pilot exposed a shell-control defect that bypassed classification and retry; its successful WES/RNA samples remain calibration evidence because the corrective commit changed. Only one set of final-commit pilots may enter the storage assessment; no pilot enters a performance table or result registry.</w:t>
      </w:r>
    </w:p>
    <w:p>
      <w:pPr>
        <w:pStyle w:val="Heading1"/>
      </w:pPr>
      <w:r>
        <w:t>S10. Count reconciliation and reproducibility</w:t>
      </w:r>
    </w:p>
    <w:p>
      <w:r>
        <w:t>decisions/20260908_count_reconciliation.json records the known historical discrepancies and the neutral rule for resolving them from corrected canonical rows. artifacts/registered_results_long.tsv is the canonical current result artifact. Registry validation checks identity and values, while an independent evaluator must reproduce each headline count before release.</w:t>
      </w:r>
    </w:p>
    <w:p>
      <w:r>
        <w:t>Local verification runs both pytest entry forms, regenerates the registry and head-to-head tables, validates the discovery inventory, and audits this supplement together with the main text. Ubuntu and Windows CI exercise the same suite, including cross-platform POSIX serialization of freeze paths.</w:t>
      </w:r>
    </w:p>
    <w:sectPr>
      <w:pgSz w:w="12240" w:h="15840"/>
      <w:pgMar w:top="1080" w:right="1080" w:bottom="1080" w:left="1080" w:header="720" w:footer="720"/>
    </w:sectPr>
  </w:body>
</w:document>
</file>

<file path=word/styles.xml><?xml version="1.0" encoding="utf-8"?>
<w:styles xmlns:w="http://schemas.openxmlformats.org/wordprocessingml/2006/main">
  <w:style w:type="paragraph" w:styleId="Normal">
    <w:name w:val="Normal"/>
    <w:rPr>
      <w:sz w:val="22"/>
    </w:rPr>
  </w:style>
  <w:style w:type="paragraph" w:styleId="Title">
    <w:name w:val="Title"/>
    <w:rPr>
      <w:sz w:val="32"/>
      <w:b/>
    </w:rPr>
  </w:style>
  <w:style w:type="paragraph" w:styleId="Heading1">
    <w:name w:val="heading 1"/>
    <w:rPr>
      <w:sz w:val="28"/>
      <w:b/>
    </w:rPr>
  </w:style>
  <w:style w:type="paragraph" w:styleId="Heading2">
    <w:name w:val="heading 2"/>
    <w:rPr>
      <w:sz w:val="25"/>
      <w:b/>
    </w:rPr>
  </w:style>
  <w:style w:type="paragraph" w:styleId="Heading3">
    <w:name w:val="heading 3"/>
    <w:rPr>
      <w:sz w:val="23"/>
      <w:b/>
    </w:rPr>
  </w:style>
  <w:style w:type="paragraph" w:styleId="ListBullet">
    <w:name w:val="List Bullet"/>
    <w:rPr>
      <w:sz w:val="22"/>
    </w:rPr>
  </w:style>
  <w:style w:type="paragraph" w:styleId="Caption">
    <w:name w:val="Caption"/>
    <w:rPr>
      <w:sz w:val="20"/>
    </w:rPr>
  </w:style>
</w:styles>
</file>

<file path=word/_rels/document.xml.rels><?xml version="1.0" encoding="UTF-8" standalone="yes"?><Relationships xmlns="http://schemas.openxmlformats.org/package/2006/relationships" />
</file>

<file path=docProps/core.xml><?xml version="1.0" encoding="utf-8"?>
<cp:coreProperties xmlns:cp="http://schemas.openxmlformats.org/package/2006/metadata/core-properties" xmlns:dc="http://purl.org/dc/elements/1.1/" xmlns:dcterms="http://purl.org/dc/terms/" xmlns:xsi="http://www.w3.org/2001/XMLSchema-instance">
  <dc:title>ChampHLA journal-neutral submission</dc:title>
  <dc:creator>ChampHLA authors</dc:creator>
  <dcterms:created xsi:type="dcterms:W3CDTF">2000-01-01T00:00:00Z</dcterms:created>
  <dcterms:modified xsi:type="dcterms:W3CDTF">2000-01-01T00:00:00Z</dcterms:modified>
</cp:coreProperties>
</file>