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HLA typing at the population scale—increasingly at high, allele-level resolution—is now a prerequisite for transplantation matching, immunotherapy design, and pharmacogenomics screening, 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majority voting</w:t>
      </w:r>
      <w:r>
        <w:t xml:space="preserve"> (0.3844; +11.7 percentage points; exact McNemar p&lt;0.0001) and matching </w:t>
      </w:r>
      <w:r>
        <w:rPr>
          <w:b/>
        </w:rPr>
        <w:t>the best single tool</w:t>
      </w:r>
      <w:r>
        <w:t xml:space="preserve"> (OptiType, 0.4975; McNemar p=0.74, not significant), by routing each locus to its benchmark-designated champion—recovering the single-tool accuracy ceiling that symmetric voting dilutes.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rate)—which Champion-Challenger matches exactly while exceeding the best single tool—so Champion-Challenger can serve as the default consensus in the recommended bimodal configuration at no accuracy cost;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81.1% (two-field) / 82.2% (G-group) allele-level concordance across 30 samples—rising to 94.4% on a smaller per-sample-depth pilot—directly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matched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lacking gold typing,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Supplementary Figure S11</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6</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production—the bundled per-modality weights (</w:t>
      </w:r>
      <w:r>
        <w:rPr>
          <w:rFonts w:ascii="Consolas" w:hAnsi="Consolas"/>
        </w:rPr>
        <w:t>tool_weights_{wgs,wes,rna}.json</w:t>
      </w:r>
      <w:r>
        <w:t>) and default override policy, which are the full-cohort analogue of the per-fold policy—and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modality, and gene, a </w:t>
      </w:r>
      <w:r>
        <w:rPr>
          <w:b/>
        </w:rPr>
        <w:t>base reliability</w:t>
      </w:r>
      <w:r>
        <w:t xml:space="preserve"> weight is computed as the fraction of calls matching the ground-truth allele pair at two-field resolution on the training folds of the nested cross-validation, so that weights applied to a held-out fold are never learned from it. Tools with high base reliability receive proportionally higher influence on the weighted consensus vote.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MajorityVote (0.3844) by </w:t>
      </w:r>
      <w:r>
        <w:rPr>
          <w:b/>
        </w:rPr>
        <w:t>11.7 percentage points</w:t>
      </w:r>
      <w:r>
        <w:t xml:space="preserve"> and matching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paired comparison against the best single tool, by contrast, was </w:t>
      </w:r>
      <w:r>
        <w:rPr>
          <w:b/>
        </w:rPr>
        <w:t>not</w:t>
      </w:r>
      <w:r>
        <w:t xml:space="preserve"> significant (0.5012 vs 0.4975; exact McNemar p=0.74; b=19, c=16): on WGS, champion routing does not so much beat the strongest individual tool as recover the single-tool accuracy ceiling that symmetric majority voting dilutes across the many low-accuracy WGS callers.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Section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rPr>
          <w:b/>
        </w:rPr>
        <w:t>Table 1. Supported callers, modalities, evidence types, and benchmark-derived base reliability</w:t>
      </w:r>
    </w:p>
    <w:p>
      <w:r>
        <w:rPr>
          <w:i/>
        </w:rPr>
        <w:t>Base reliability = overall correct-call rate on the respective modality benchmark: the full 137-sample cohort (WGS) or the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0.498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0.260</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0.328</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0.080</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0.165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0.159</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The paired Champion-Challenger-vs-best-single-tool exact McNemar test (`nested_cv_mcnemar_vs_best_tool.tsv`) is not significant on WGS (0.5012 vs OptiType 0.4975; p=0.74; b=19, c=16) or RNA-seq (0.9408 vs HLA-HD 0.9429; p=1.0) and only nominally favours Champion-Challenger on WES (0.9436 vs OptiType 0.9231; p=0.039; b=10, c=2), which does not survive Holm correction across the three modality tests; Champion-Challenger's sole robust paired advantage is therefore over majority voting on WGS.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majority voting in WGS</w:t>
      </w:r>
      <w:r>
        <w:t xml:space="preserve"> — the most discordant modality — through per-gene champion routing (0.5012 vs 0.3844; exact McNemar p&lt;0.0001), thereby recovering the best-single-tool ceiling (OptiType 0.4975; matched, p=0.74),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Supplementary Figure S11</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Supplementary Figure S11</w:t>
      </w:r>
      <w:r>
        <w:t>.</w:t>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Supplementary Figure S9</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RNA-seq rate exceeds 100% because multiple discordance categories can be tagged per locus.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full 137-sample WGS cohort, consistent with the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cohort, five of eight tools contributed confidence signals; three of five were blocked by the guardrail. OptiType's integer-linear-programming objective score saturated at 1.0 across virtually all calls regardless of whether the call was correct (Brier score=0.503, ECE=0.503), indicating that OptiType's confidence proxy is uninformative for weight boosting despite the tool's strong base accuracy (0.498). HLA-HD similarly showed saturation-driven miscalibration (Brier=0.550, ECE=0.583), and Kourami showed the most extreme miscalibration of all five tools (Brier=0.817, ECE=0.827). Under the guardrail, all three are assigned final weights equal to their base reliabilities (OptiType=0.498, HLA-HD=0.260, Kourami=0.159).</w:t>
      </w:r>
    </w:p>
    <w:p>
      <w:r>
        <w:t>The practical stakes of this miscalibration are best illustrated by a counterfactual. Without the guardrail, OptiType's saturated mean confidence of approximately 1.0 would push its blended final weight to approximately 0.7 × 0.4975 + 0.3 × 1.0 = 0.648—a ~30% relative increase over its base reliability, driven entirely by an uninformative proxy that is equally high for correct and incorrect calls. HLA-HD, with mean confidence 0.876 but base reliability 0.260, would be similarly over-weighted relative to its actual accuracy. The calibration guardrail prevents both inflations, ensuring that the weight ordering correctly reflects the tool accuracy ranking rather than confidence-proxy magnitude (</w:t>
      </w:r>
      <w:r>
        <w:rPr>
          <w:b/>
        </w:rPr>
        <w:t>Supplementary Figure S10</w:t>
      </w:r>
      <w:r>
        <w:t>).</w:t>
      </w:r>
    </w:p>
    <w:p>
      <w:r>
        <w:t xml:space="preserve">Two tools passed the guardrail: T1K (Brier=0.312, ECE=0.297), which retained a partial confidence boost resulting in a final weight of 0.339 (versus base reliability 0.328), and ArcasHLA (Brier=0.079, ECE=0.076), which showed excellent calibration but contributed negligible weight due to near-zero WGS accuracy (base reliability=0.080;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0.4853 (OptiType)</w:t>
            </w:r>
          </w:p>
        </w:tc>
        <w:tc>
          <w:tcPr>
            <w:tcW w:type="dxa" w:w="2160"/>
          </w:tcPr>
          <w:p>
            <w:r/>
            <w:r>
              <w:t>0.6985 (OptiType)</w:t>
            </w:r>
          </w:p>
        </w:tc>
        <w:tc>
          <w:tcPr>
            <w:tcW w:type="dxa" w:w="2160"/>
          </w:tcPr>
          <w:p>
            <w:r/>
            <w:r>
              <w:t>0.3413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In each gene Champion-Challenger tracks the per-gene single-tool ceiling (routing), confirming that the modality-level gain in Table 3 is the sum of per-gene champion routing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rPr>
                <w:b/>
              </w:rPr>
              <w:t>BimodalChampionChallenger (nested-CV)</w:t>
            </w:r>
          </w:p>
        </w:tc>
        <w:tc>
          <w:tcPr>
            <w:tcW w:type="dxa" w:w="2160"/>
          </w:tcPr>
          <w:p>
            <w:r/>
            <w:r>
              <w:t>0.9623</w:t>
            </w:r>
          </w:p>
        </w:tc>
        <w:tc>
          <w:tcPr>
            <w:tcW w:type="dxa" w:w="2160"/>
          </w:tcPr>
          <w:p>
            <w:r/>
            <w:r>
              <w:t>0.9528</w:t>
            </w:r>
          </w:p>
        </w:tc>
        <w:tc>
          <w:tcPr>
            <w:tcW w:type="dxa" w:w="2160"/>
          </w:tcPr>
          <w:p>
            <w:r/>
            <w:r>
              <w:t>0.9717</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i/>
        </w:rPr>
        <w:t>Bimodal Champion-Challenger (10-fold nested CV over the 106 matched subjects) matches BimodalMajorityVote overall (0.9623 vs 0.9623; exact McNemar p=1.0, two discordant loci each way) and exceeds the best single tool (0.9423); per gene it trails majority voting at HLA-A/-B and leads at HLA-C, a net wash (Results §7, Figure 5).</w:t>
      </w:r>
    </w:p>
    <w:p>
      <w:r>
        <w:rPr>
          <w:b/>
        </w:rPr>
        <w:t>Table 5.</w:t>
      </w:r>
      <w:r>
        <w:t xml:space="preserve"> </w:t>
      </w:r>
      <w:r>
        <w:rPr>
          <w:i/>
        </w:rPr>
        <w:t>Confidence calibration, guardrail status, and final weights (137-sample WGS cohort)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0.079</w:t>
            </w:r>
          </w:p>
        </w:tc>
        <w:tc>
          <w:tcPr>
            <w:tcW w:type="dxa" w:w="1440"/>
          </w:tcPr>
          <w:p>
            <w:r/>
            <w:r>
              <w:t>0.076</w:t>
            </w:r>
          </w:p>
        </w:tc>
        <w:tc>
          <w:tcPr>
            <w:tcW w:type="dxa" w:w="1440"/>
          </w:tcPr>
          <w:p>
            <w:r/>
            <w:r>
              <w:t>Pass</w:t>
            </w:r>
          </w:p>
        </w:tc>
        <w:tc>
          <w:tcPr>
            <w:tcW w:type="dxa" w:w="1440"/>
          </w:tcPr>
          <w:p>
            <w:r/>
            <w:r>
              <w:t>0.081</w:t>
            </w:r>
          </w:p>
        </w:tc>
      </w:tr>
      <w:tr>
        <w:tc>
          <w:tcPr>
            <w:tcW w:type="dxa" w:w="1440"/>
          </w:tcPr>
          <w:p>
            <w:r/>
            <w:r>
              <w:t>T1K</w:t>
            </w:r>
          </w:p>
        </w:tc>
        <w:tc>
          <w:tcPr>
            <w:tcW w:type="dxa" w:w="1440"/>
          </w:tcPr>
          <w:p>
            <w:r/>
            <w:r>
              <w:t>Read-support proxy</w:t>
            </w:r>
          </w:p>
        </w:tc>
        <w:tc>
          <w:tcPr>
            <w:tcW w:type="dxa" w:w="1440"/>
          </w:tcPr>
          <w:p>
            <w:r/>
            <w:r>
              <w:t>0.312</w:t>
            </w:r>
          </w:p>
        </w:tc>
        <w:tc>
          <w:tcPr>
            <w:tcW w:type="dxa" w:w="1440"/>
          </w:tcPr>
          <w:p>
            <w:r/>
            <w:r>
              <w:t>0.297</w:t>
            </w:r>
          </w:p>
        </w:tc>
        <w:tc>
          <w:tcPr>
            <w:tcW w:type="dxa" w:w="1440"/>
          </w:tcPr>
          <w:p>
            <w:r/>
            <w:r>
              <w:t>Pass</w:t>
            </w:r>
          </w:p>
        </w:tc>
        <w:tc>
          <w:tcPr>
            <w:tcW w:type="dxa" w:w="1440"/>
          </w:tcPr>
          <w:p>
            <w:r/>
            <w:r>
              <w:t>0.339</w:t>
            </w:r>
          </w:p>
        </w:tc>
      </w:tr>
      <w:tr>
        <w:tc>
          <w:tcPr>
            <w:tcW w:type="dxa" w:w="1440"/>
          </w:tcPr>
          <w:p>
            <w:r/>
            <w:r>
              <w:t>OptiType</w:t>
            </w:r>
          </w:p>
        </w:tc>
        <w:tc>
          <w:tcPr>
            <w:tcW w:type="dxa" w:w="1440"/>
          </w:tcPr>
          <w:p>
            <w:r/>
            <w:r>
              <w:t>Objective score</w:t>
            </w:r>
          </w:p>
        </w:tc>
        <w:tc>
          <w:tcPr>
            <w:tcW w:type="dxa" w:w="1440"/>
          </w:tcPr>
          <w:p>
            <w:r/>
            <w:r>
              <w:t>0.503</w:t>
            </w:r>
          </w:p>
        </w:tc>
        <w:tc>
          <w:tcPr>
            <w:tcW w:type="dxa" w:w="1440"/>
          </w:tcPr>
          <w:p>
            <w:r/>
            <w:r>
              <w:t>0.503</w:t>
            </w:r>
          </w:p>
        </w:tc>
        <w:tc>
          <w:tcPr>
            <w:tcW w:type="dxa" w:w="1440"/>
          </w:tcPr>
          <w:p>
            <w:r/>
            <w:r>
              <w:t>Fail (blocked)</w:t>
            </w:r>
          </w:p>
        </w:tc>
        <w:tc>
          <w:tcPr>
            <w:tcW w:type="dxa" w:w="1440"/>
          </w:tcPr>
          <w:p>
            <w:r/>
            <w:r>
              <w:t>0.498</w:t>
            </w:r>
          </w:p>
        </w:tc>
      </w:tr>
      <w:tr>
        <w:tc>
          <w:tcPr>
            <w:tcW w:type="dxa" w:w="1440"/>
          </w:tcPr>
          <w:p>
            <w:r/>
            <w:r>
              <w:t>HLA-HD</w:t>
            </w:r>
          </w:p>
        </w:tc>
        <w:tc>
          <w:tcPr>
            <w:tcW w:type="dxa" w:w="1440"/>
          </w:tcPr>
          <w:p>
            <w:r/>
            <w:r>
              <w:t>Read-support proxy</w:t>
            </w:r>
          </w:p>
        </w:tc>
        <w:tc>
          <w:tcPr>
            <w:tcW w:type="dxa" w:w="1440"/>
          </w:tcPr>
          <w:p>
            <w:r/>
            <w:r>
              <w:t>0.550</w:t>
            </w:r>
          </w:p>
        </w:tc>
        <w:tc>
          <w:tcPr>
            <w:tcW w:type="dxa" w:w="1440"/>
          </w:tcPr>
          <w:p>
            <w:r/>
            <w:r>
              <w:t>0.583</w:t>
            </w:r>
          </w:p>
        </w:tc>
        <w:tc>
          <w:tcPr>
            <w:tcW w:type="dxa" w:w="1440"/>
          </w:tcPr>
          <w:p>
            <w:r/>
            <w:r>
              <w:t>Fail (blocked)</w:t>
            </w:r>
          </w:p>
        </w:tc>
        <w:tc>
          <w:tcPr>
            <w:tcW w:type="dxa" w:w="1440"/>
          </w:tcPr>
          <w:p>
            <w:r/>
            <w:r>
              <w:t>0.260</w:t>
            </w:r>
          </w:p>
        </w:tc>
      </w:tr>
      <w:tr>
        <w:tc>
          <w:tcPr>
            <w:tcW w:type="dxa" w:w="1440"/>
          </w:tcPr>
          <w:p>
            <w:r/>
            <w:r>
              <w:t>Kourami</w:t>
            </w:r>
          </w:p>
        </w:tc>
        <w:tc>
          <w:tcPr>
            <w:tcW w:type="dxa" w:w="1440"/>
          </w:tcPr>
          <w:p>
            <w:r/>
            <w:r>
              <w:t>Read-coverage proxy</w:t>
            </w:r>
          </w:p>
        </w:tc>
        <w:tc>
          <w:tcPr>
            <w:tcW w:type="dxa" w:w="1440"/>
          </w:tcPr>
          <w:p>
            <w:r/>
            <w:r>
              <w:t>0.817</w:t>
            </w:r>
          </w:p>
        </w:tc>
        <w:tc>
          <w:tcPr>
            <w:tcW w:type="dxa" w:w="1440"/>
          </w:tcPr>
          <w:p>
            <w:r/>
            <w:r>
              <w:t>0.827</w:t>
            </w:r>
          </w:p>
        </w:tc>
        <w:tc>
          <w:tcPr>
            <w:tcW w:type="dxa" w:w="1440"/>
          </w:tcPr>
          <w:p>
            <w:r/>
            <w:r>
              <w:t>Fail (blocked)</w:t>
            </w:r>
          </w:p>
        </w:tc>
        <w:tc>
          <w:tcPr>
            <w:tcW w:type="dxa" w:w="1440"/>
          </w:tcPr>
          <w:p>
            <w:r/>
            <w:r>
              <w:t>0.159</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0.165</w:t>
            </w:r>
          </w:p>
        </w:tc>
      </w:tr>
    </w:tbl>
    <w:p/>
    <w:p>
      <w:r>
        <w:rPr>
          <w:i/>
        </w:rPr>
        <w:t>Guardrail threshold: Brier and ECE both &lt; 0.35 required for confidence boost. Blocked tools: effective_confidence = base_reliability, giving final_weight = base_reliability. Computed on the full 137-sample WGS cohort; the guardrail decisions are identical to those obtained on the wave2 training split, confirming that the calibration ranking is cohort-stable.</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3328"/>
            <wp:docPr id="4" name="Picture 4"/>
            <wp:cNvGraphicFramePr>
              <a:graphicFrameLocks noChangeAspect="1"/>
            </wp:cNvGraphicFramePr>
            <a:graphic>
              <a:graphicData uri="http://schemas.openxmlformats.org/drawingml/2006/picture">
                <pic:pic>
                  <pic:nvPicPr>
                    <pic:cNvPr id="0" name="figure_4_confidence_calibration.png"/>
                    <pic:cNvPicPr/>
                  </pic:nvPicPr>
                  <pic:blipFill>
                    <a:blip r:embed="rId12"/>
                    <a:stretch>
                      <a:fillRect/>
                    </a:stretch>
                  </pic:blipFill>
                  <pic:spPr>
                    <a:xfrm>
                      <a:off x="0" y="0"/>
                      <a:ext cx="5486400" cy="254332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S1</w:t>
      </w:r>
      <w:r>
        <w:t xml:space="preserve"> (commonness) and </w:t>
      </w:r>
      <w:r>
        <w:rPr>
          <w:b/>
        </w:rPr>
        <w:t>Supplementary Table S2</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Supplementary Figure S13A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Supplementary Figure S13B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5</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 Applying the Champion-Challenger consensus to the same bimodal call set under 10-fold nested cross-validation reproduced the majority-voting result exactly (0.9623 vs 0.9623; exact McNemar p=1.0, two discordant loci each way) while exceeding the best single tool (HLA-HD RNA-seq, 0.9423; Table 4): in the recommended bimodal configuration Champion-Challenger therefore matches majority voting without regression and beats any individual tool, so it can serve as the default consensus—providing calibration-guarded, auditable calls at no accuracy cost—rather than being reserved for the discordant WGS modality where it produces a significant gain.</w:t>
      </w:r>
    </w:p>
    <w:p>
      <w:r>
        <w:t xml:space="preserve">Adding WGS as a third modality did not improve the bimodal headline: TrimodalMajorityVote achieved </w:t>
      </w:r>
      <w:r>
        <w:rPr>
          <w:b/>
        </w:rPr>
        <w:t>0.9591</w:t>
      </w:r>
      <w:r>
        <w:t xml:space="preserve"> overall correct-call rate (callable rate=0.9906; </w:t>
      </w:r>
      <w:r>
        <w:rPr>
          <w:b/>
        </w:rPr>
        <w:t>Supplementary Figure S12</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5.</w:t>
      </w:r>
      <w:r>
        <w:t xml:space="preserve"> </w:t>
      </w:r>
      <w:r>
        <w:rPr>
          <w:i/>
        </w:rPr>
        <w:t>Bimodal WES+RNA per-gene comparison (n=106 matched subjects; 10-fold nested cross-validation).</w:t>
      </w:r>
      <w:r>
        <w:t xml:space="preserve"> Grouped bars show overall correct-call rate at HLA-A, HLA-B, and HLA-C for bimodal MajorityVote, bimodal Champion-Challenger, and the best single tool (per gene, across WES and RNA-seq callers). Overall, bimodal Champion-Challenger matches bimodal majority voting exactly (0.9623 vs 0.9623; exact McNemar p=1.0) and both exceed the best single tool (0.9423); per gene the two consensus methods trade the lead—majority voting at HLA-A and -B, Champion-Challenger at HLA-C—a net wash. In the recommended bimodal configuration Champion-Challenger can therefore serve as the default consensus at no accuracy cost while adding calibration-guarded, auditable calls.</w:t>
      </w:r>
    </w:p>
    <w:p>
      <w:pPr>
        <w:jc w:val="center"/>
      </w:pPr>
      <w:r>
        <w:drawing>
          <wp:inline xmlns:a="http://schemas.openxmlformats.org/drawingml/2006/main" xmlns:pic="http://schemas.openxmlformats.org/drawingml/2006/picture">
            <wp:extent cx="5486400" cy="1889709"/>
            <wp:docPr id="5" name="Picture 5"/>
            <wp:cNvGraphicFramePr>
              <a:graphicFrameLocks noChangeAspect="1"/>
            </wp:cNvGraphicFramePr>
            <a:graphic>
              <a:graphicData uri="http://schemas.openxmlformats.org/drawingml/2006/picture">
                <pic:pic>
                  <pic:nvPicPr>
                    <pic:cNvPr id="0" name="figure_09_bimodal_per_gene.png"/>
                    <pic:cNvPicPr/>
                  </pic:nvPicPr>
                  <pic:blipFill>
                    <a:blip r:embed="rId13"/>
                    <a:stretch>
                      <a:fillRect/>
                    </a:stretch>
                  </pic:blipFill>
                  <pic:spPr>
                    <a:xfrm>
                      <a:off x="0" y="0"/>
                      <a:ext cx="5486400" cy="1889709"/>
                    </a:xfrm>
                    <a:prstGeom prst="rect"/>
                  </pic:spPr>
                </pic:pic>
              </a:graphicData>
            </a:graphic>
          </wp:inline>
        </w:drawing>
      </w:r>
    </w:p>
    <w:p>
      <w:r>
        <w:rPr>
          <w:b/>
        </w:rPr>
        <w:t>Figure 6.</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6" name="Picture 6"/>
            <wp:cNvGraphicFramePr>
              <a:graphicFrameLocks noChangeAspect="1"/>
            </wp:cNvGraphicFramePr>
            <a:graphic>
              <a:graphicData uri="http://schemas.openxmlformats.org/drawingml/2006/picture">
                <pic:pic>
                  <pic:nvPicPr>
                    <pic:cNvPr id="0" name="figure_11_champion_challenger_combined.png"/>
                    <pic:cNvPicPr/>
                  </pic:nvPicPr>
                  <pic:blipFill>
                    <a:blip r:embed="rId14"/>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(Supplementary Figure S14).</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(Supplementary Figure S14C)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7A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7B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7.</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ure_14_flow_hla_a2.png"/>
                    <pic:cNvPicPr/>
                  </pic:nvPicPr>
                  <pic:blipFill>
                    <a:blip r:embed="rId15"/>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Section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Supplementary Figure S11</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Supplementary Figure S11</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left to future work as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Section.</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majority voting (0.3844; +11.7 percentage points; exact McNemar p&lt;0.0001) and level with the best single tool (OptiType 0.4975; p=0.74),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there Champion-Challenger matches bimodal majority voting exactly (0.9623 vs 0.9623; McNemar p=1.0) while beating the best single tool (0.9423), so it can serve as the default consensus—delivering calibration-guarded, auditable calls at no accuracy cost—rather than being reserved for difficult modalities. Where only WGS is available—as in many biobank, archival, or DNA-only cohorts—champion routing provides a significant and fully auditable accuracy gain over majority voting, recovering the best-single-tool accuracy ceiling that symmetric voting dilutes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Materials</w:t>
      </w:r>
    </w:p>
    <w:p>
      <w:r>
        <w:t xml:space="preserve">All supplementary items are provided in a separate document, </w:t>
      </w:r>
      <w:r>
        <w:rPr>
          <w:b/>
        </w:rPr>
        <w:t>ChampHLA — Supplementary Materials</w:t>
      </w:r>
      <w:r>
        <w:t xml:space="preserve"> (</w:t>
      </w:r>
      <w:r>
        <w:rPr>
          <w:rFonts w:ascii="Consolas" w:hAnsi="Consolas"/>
        </w:rPr>
        <w:t>docs/CHAMPHLA_MANUSCRIPT_V3_SUPPLEMENTARY.md</w:t>
      </w:r>
      <w:r>
        <w:t xml:space="preserve"> / </w:t>
      </w:r>
      <w:r>
        <w:rPr>
          <w:rFonts w:ascii="Consolas" w:hAnsi="Consolas"/>
        </w:rPr>
        <w:t>.docx</w:t>
      </w:r>
      <w:r>
        <w:t xml:space="preserve">): Supplementary Figures S1–S14, Supplementary Tables S1–S3, and Supplementary Notes S1–S8. Each supplementary figure is embedded there with its source stem under </w:t>
      </w:r>
      <w:r>
        <w:rPr>
          <w:rFonts w:ascii="Consolas" w:hAnsi="Consolas"/>
        </w:rPr>
        <w:t>analysis/figures_final/</w:t>
      </w:r>
      <w:r>
        <w:t>.</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an HPC driver is provided as </w:t>
      </w:r>
      <w:r>
        <w:rPr>
          <w:rFonts w:ascii="Consolas" w:hAnsi="Consolas"/>
        </w:rPr>
        <w:t>slurm_nested_cv.sh</w:t>
      </w:r>
      <w:r>
        <w:t xml:space="preserve">, and a caption-consistent, journal-ready figure set is assembled by </w:t>
      </w:r>
      <w:r>
        <w:rPr>
          <w:rFonts w:ascii="Consolas" w:hAnsi="Consolas"/>
        </w:rPr>
        <w:t>bin/build_submission_figures.py</w:t>
      </w:r>
      <w:r>
        <w:t xml:space="preserve">. The bimodal WES+RNA Champion-Challenger result (Table 4) is produced by </w:t>
      </w:r>
      <w:r>
        <w:rPr>
          <w:rFonts w:ascii="Consolas" w:hAnsi="Consolas"/>
        </w:rPr>
        <w:t>bin/nested_cv_champion_challenger.py --bimodal</w:t>
      </w:r>
      <w:r>
        <w:t xml:space="preserve">.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upon acceptance.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upon acceptance.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upon acceptance.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