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scale—increasingly at high, allele-level resolution—is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both majority voting</w:t>
      </w:r>
      <w:r>
        <w:t xml:space="preserve"> (0.3844; +11.7 percentage points; exact McNemar p&lt;0.0001) </w:t>
      </w:r>
      <w:r>
        <w:rPr>
          <w:b/>
        </w:rPr>
        <w:t>and the best single tool</w:t>
      </w:r>
      <w:r>
        <w:t xml:space="preserve"> (OptiType, 0.4975), through per-gene champion routing.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 while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Figure 7</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10</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production—the bundled per-modality weights (</w:t>
      </w:r>
      <w:r>
        <w:rPr>
          <w:rFonts w:ascii="Consolas" w:hAnsi="Consolas"/>
        </w:rPr>
        <w:t>tool_weights_{wgs,wes,rna}.json</w:t>
      </w:r>
      <w:r>
        <w:t>) and default override policy, which are the full-cohort analogue of the per-fold policy—and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both MajorityVote (0.3844) by </w:t>
      </w:r>
      <w:r>
        <w:rPr>
          <w:b/>
        </w:rPr>
        <w:t>11.7 percentage points</w:t>
      </w:r>
      <w:r>
        <w:t xml:space="preserve"> and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training split (WGS) or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0.548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0.226</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0.262</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0.024</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0.155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0.141</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both majority voting and the best single tool in WGS</w:t>
      </w:r>
      <w:r>
        <w:t xml:space="preserve"> — the most discordant modality — through per-gene champion routing (0.5012 vs 0.3844; exact McNemar p&lt;0.0001),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Figure 7</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Figure 7</w:t>
      </w:r>
      <w:r>
        <w:t>.</w:t>
      </w:r>
    </w:p>
    <w:p>
      <w:r>
        <w:rPr>
          <w:b/>
        </w:rPr>
        <w:t>Figure 7.</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4" name="Picture 4"/>
            <wp:cNvGraphicFramePr>
              <a:graphicFrameLocks noChangeAspect="1"/>
            </wp:cNvGraphicFramePr>
            <a:graphic>
              <a:graphicData uri="http://schemas.openxmlformats.org/drawingml/2006/picture">
                <pic:pic>
                  <pic:nvPicPr>
                    <pic:cNvPr id="0" name="figure_8_computational_performance.png"/>
                    <pic:cNvPicPr/>
                  </pic:nvPicPr>
                  <pic:blipFill>
                    <a:blip r:embed="rId12"/>
                    <a:stretch>
                      <a:fillRect/>
                    </a:stretch>
                  </pic:blipFill>
                  <pic:spPr>
                    <a:xfrm>
                      <a:off x="0" y="0"/>
                      <a:ext cx="5486400" cy="1839767"/>
                    </a:xfrm>
                    <a:prstGeom prst="rect"/>
                  </pic:spPr>
                </pic:pic>
              </a:graphicData>
            </a:graphic>
          </wp:inline>
        </w:drawing>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Figure 5</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Figure 5.</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5" name="Picture 5"/>
            <wp:cNvGraphicFramePr>
              <a:graphicFrameLocks noChangeAspect="1"/>
            </wp:cNvGraphicFramePr>
            <a:graphic>
              <a:graphicData uri="http://schemas.openxmlformats.org/drawingml/2006/picture">
                <pic:pic>
                  <pic:nvPicPr>
                    <pic:cNvPr id="0" name="figure_6_discordance_taxonomy.png"/>
                    <pic:cNvPicPr/>
                  </pic:nvPicPr>
                  <pic:blipFill>
                    <a:blip r:embed="rId13"/>
                    <a:stretch>
                      <a:fillRect/>
                    </a:stretch>
                  </pic:blipFill>
                  <pic:spPr>
                    <a:xfrm>
                      <a:off x="0" y="0"/>
                      <a:ext cx="5486400" cy="2164216"/>
                    </a:xfrm>
                    <a:prstGeom prst="rect"/>
                  </pic:spPr>
                </pic:pic>
              </a:graphicData>
            </a:graphic>
          </wp:inline>
        </w:drawing>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Figure 6</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at the overall level (0.9623 vs 0.9623; exact McNemar p=1.0, 2 discordant loci each way) and exceeds the best single tool (0.9423); per-gene it trails majority voting at HLA-A/-B and leads at HLA-C, a net wash. Thus in the recommended bimodal configuration Champion-Challenger does no harm relative to majority voting while adding calibration-guarded, auditable calls and beating any individual tool.</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6" name="Picture 6"/>
            <wp:cNvGraphicFramePr>
              <a:graphicFrameLocks noChangeAspect="1"/>
            </wp:cNvGraphicFramePr>
            <a:graphic>
              <a:graphicData uri="http://schemas.openxmlformats.org/drawingml/2006/picture">
                <pic:pic>
                  <pic:nvPicPr>
                    <pic:cNvPr id="0" name="figure_4_confidence_calibration.png"/>
                    <pic:cNvPicPr/>
                  </pic:nvPicPr>
                  <pic:blipFill>
                    <a:blip r:embed="rId14"/>
                    <a:stretch>
                      <a:fillRect/>
                    </a:stretch>
                  </pic:blipFill>
                  <pic:spPr>
                    <a:xfrm>
                      <a:off x="0" y="0"/>
                      <a:ext cx="5486400" cy="2543328"/>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Figure 6.</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60008"/>
            <wp:docPr id="7" name="Picture 7"/>
            <wp:cNvGraphicFramePr>
              <a:graphicFrameLocks noChangeAspect="1"/>
            </wp:cNvGraphicFramePr>
            <a:graphic>
              <a:graphicData uri="http://schemas.openxmlformats.org/drawingml/2006/picture">
                <pic:pic>
                  <pic:nvPicPr>
                    <pic:cNvPr id="0" name="figure_7_confidence_weights.png"/>
                    <pic:cNvPicPr/>
                  </pic:nvPicPr>
                  <pic:blipFill>
                    <a:blip r:embed="rId15"/>
                    <a:stretch>
                      <a:fillRect/>
                    </a:stretch>
                  </pic:blipFill>
                  <pic:spPr>
                    <a:xfrm>
                      <a:off x="0" y="0"/>
                      <a:ext cx="5486400" cy="236000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Figure 11A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Figure 11B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Figure 11.</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8" name="Picture 8"/>
            <wp:cNvGraphicFramePr>
              <a:graphicFrameLocks noChangeAspect="1"/>
            </wp:cNvGraphicFramePr>
            <a:graphic>
              <a:graphicData uri="http://schemas.openxmlformats.org/drawingml/2006/picture">
                <pic:pic>
                  <pic:nvPicPr>
                    <pic:cNvPr id="0" name="figure_12_silver_truth_hprc.png"/>
                    <pic:cNvPicPr/>
                  </pic:nvPicPr>
                  <pic:blipFill>
                    <a:blip r:embed="rId16"/>
                    <a:stretch>
                      <a:fillRect/>
                    </a:stretch>
                  </pic:blipFill>
                  <pic:spPr>
                    <a:xfrm>
                      <a:off x="0" y="0"/>
                      <a:ext cx="5486400" cy="2262513"/>
                    </a:xfrm>
                    <a:prstGeom prst="rect"/>
                  </pic:spPr>
                </pic:pic>
              </a:graphicData>
            </a:graphic>
          </wp:inline>
        </w:drawing>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8</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Figure 9</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8.</w:t>
      </w:r>
      <w:r>
        <w:t xml:space="preserve"> </w:t>
      </w:r>
      <w:r>
        <w:rPr>
          <w:i/>
        </w:rPr>
        <w:t>Bimodal WES+RNA per-gene robustness analysis (n=106 matched subjects; supplementary robustness benchmark).</w:t>
      </w:r>
      <w:r>
        <w:t xml:space="preserve"> Grouped bar charts show overall correct-call rate at HLA-A, HLA-B, and HLA-C for six methods: unimodal WES MajorityVote and WeightedConsensus, unimodal RNA-seq MajorityVote and WeightedConsensus, and bimodal WES+RNA MajorityVote and WeightedConsensus (bold outlines). Error bars represent Wilson score 95% confidence intervals. Bimodal MajorityVote exceeds all unimodal baselines at every gene, confirming that WES and RNA-seq provide complementary typing evidence. BimodalWeightedConsensus trades a small callable-rate reduction at HLA-C for marginal accuracy gains among callable loci.</w:t>
      </w:r>
    </w:p>
    <w:p>
      <w:pPr>
        <w:jc w:val="center"/>
      </w:pPr>
      <w:r>
        <w:drawing>
          <wp:inline xmlns:a="http://schemas.openxmlformats.org/drawingml/2006/main" xmlns:pic="http://schemas.openxmlformats.org/drawingml/2006/picture">
            <wp:extent cx="5486400" cy="2325684"/>
            <wp:docPr id="9" name="Picture 9"/>
            <wp:cNvGraphicFramePr>
              <a:graphicFrameLocks noChangeAspect="1"/>
            </wp:cNvGraphicFramePr>
            <a:graphic>
              <a:graphicData uri="http://schemas.openxmlformats.org/drawingml/2006/picture">
                <pic:pic>
                  <pic:nvPicPr>
                    <pic:cNvPr id="0" name="figure_09_bimodal_per_gene.png"/>
                    <pic:cNvPicPr/>
                  </pic:nvPicPr>
                  <pic:blipFill>
                    <a:blip r:embed="rId17"/>
                    <a:stretch>
                      <a:fillRect/>
                    </a:stretch>
                  </pic:blipFill>
                  <pic:spPr>
                    <a:xfrm>
                      <a:off x="0" y="0"/>
                      <a:ext cx="5486400" cy="2325684"/>
                    </a:xfrm>
                    <a:prstGeom prst="rect"/>
                  </pic:spPr>
                </pic:pic>
              </a:graphicData>
            </a:graphic>
          </wp:inline>
        </w:drawing>
      </w:r>
    </w:p>
    <w:p>
      <w:r>
        <w:rPr>
          <w:b/>
        </w:rPr>
        <w:t>Figure 9.</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0" name="Picture 10"/>
            <wp:cNvGraphicFramePr>
              <a:graphicFrameLocks noChangeAspect="1"/>
            </wp:cNvGraphicFramePr>
            <a:graphic>
              <a:graphicData uri="http://schemas.openxmlformats.org/drawingml/2006/picture">
                <pic:pic>
                  <pic:nvPicPr>
                    <pic:cNvPr id="0" name="figure_10_trimodal_comparison.png"/>
                    <pic:cNvPicPr/>
                  </pic:nvPicPr>
                  <pic:blipFill>
                    <a:blip r:embed="rId18"/>
                    <a:stretch>
                      <a:fillRect/>
                    </a:stretch>
                  </pic:blipFill>
                  <pic:spPr>
                    <a:xfrm>
                      <a:off x="0" y="0"/>
                      <a:ext cx="5486400" cy="2698386"/>
                    </a:xfrm>
                    <a:prstGeom prst="rect"/>
                  </pic:spPr>
                </pic:pic>
              </a:graphicData>
            </a:graphic>
          </wp:inline>
        </w:drawing>
      </w:r>
    </w:p>
    <w:p>
      <w:r>
        <w:rPr>
          <w:b/>
        </w:rPr>
        <w:t>Figure 10.</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11" name="Picture 11"/>
            <wp:cNvGraphicFramePr>
              <a:graphicFrameLocks noChangeAspect="1"/>
            </wp:cNvGraphicFramePr>
            <a:graphic>
              <a:graphicData uri="http://schemas.openxmlformats.org/drawingml/2006/picture">
                <pic:pic>
                  <pic:nvPicPr>
                    <pic:cNvPr id="0" name="figure_11_champion_challenger_combined.png"/>
                    <pic:cNvPicPr/>
                  </pic:nvPicPr>
                  <pic:blipFill>
                    <a:blip r:embed="rId19"/>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(Figure 12).</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(Figure 12C)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Figure 12.</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2" name="Picture 12"/>
            <wp:cNvGraphicFramePr>
              <a:graphicFrameLocks noChangeAspect="1"/>
            </wp:cNvGraphicFramePr>
            <a:graphic>
              <a:graphicData uri="http://schemas.openxmlformats.org/drawingml/2006/picture">
                <pic:pic>
                  <pic:nvPicPr>
                    <pic:cNvPr id="0" name="figure_13_external_validation_nci60.png"/>
                    <pic:cNvPicPr/>
                  </pic:nvPicPr>
                  <pic:blipFill>
                    <a:blip r:embed="rId20"/>
                    <a:stretch>
                      <a:fillRect/>
                    </a:stretch>
                  </pic:blipFill>
                  <pic:spPr>
                    <a:xfrm>
                      <a:off x="0" y="0"/>
                      <a:ext cx="5486400" cy="1803806"/>
                    </a:xfrm>
                    <a:prstGeom prst="rect"/>
                  </pic:spPr>
                </pic:pic>
              </a:graphicData>
            </a:graphic>
          </wp:inline>
        </w:drawing>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13A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13B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13.</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13" name="Picture 13"/>
            <wp:cNvGraphicFramePr>
              <a:graphicFrameLocks noChangeAspect="1"/>
            </wp:cNvGraphicFramePr>
            <a:graphic>
              <a:graphicData uri="http://schemas.openxmlformats.org/drawingml/2006/picture">
                <pic:pic>
                  <pic:nvPicPr>
                    <pic:cNvPr id="0" name="figure_14_flow_hla_a2.png"/>
                    <pic:cNvPicPr/>
                  </pic:nvPicPr>
                  <pic:blipFill>
                    <a:blip r:embed="rId21"/>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Figure 7</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Figure 7</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both majority voting (0.3844; +11.7 percentage points; exact McNemar p&lt;0.0001) and the best single tool,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both majority voting and the best single tool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Section (Outline)</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Description of the sweep TSV file format, how to read the accuracy-override tradeoff table, and guidance for selecting a custom operating point for institution-specific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