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979934" w14:textId="77777777" w:rsidR="00EA1315" w:rsidRDefault="00EA1315" w:rsidP="00EA1315">
      <w:r>
        <w:t xml:space="preserve"># </w:t>
      </w:r>
      <w:proofErr w:type="spellStart"/>
      <w:r>
        <w:t>PharmacoProfiler</w:t>
      </w:r>
      <w:proofErr w:type="spellEnd"/>
      <w:r>
        <w:t>: A web platform for harmonizing pharmacological data and AI-powered drug-response prediction</w:t>
      </w:r>
    </w:p>
    <w:p w14:paraId="3ADD05BB" w14:textId="77777777" w:rsidR="00EA1315" w:rsidRDefault="00EA1315" w:rsidP="00EA1315"/>
    <w:p w14:paraId="4C31A65B" w14:textId="77777777" w:rsidR="00EA1315" w:rsidRDefault="00EA1315" w:rsidP="00EA1315">
      <w:r>
        <w:t>## Abstract</w:t>
      </w:r>
    </w:p>
    <w:p w14:paraId="27C7DF94" w14:textId="77777777" w:rsidR="00EA1315" w:rsidRDefault="00EA1315" w:rsidP="00EA1315"/>
    <w:p w14:paraId="39D90789" w14:textId="77777777" w:rsidR="00EA1315" w:rsidRDefault="00EA1315" w:rsidP="00EA1315">
      <w:r>
        <w:t xml:space="preserve">Recent advances in pharmacogenomics have enabled the development of comprehensive databases and platforms that profile cancer cell lines against thousands of approved and investigational compounds. Resources such as </w:t>
      </w:r>
      <w:proofErr w:type="spellStart"/>
      <w:r>
        <w:t>CellMinerCDB</w:t>
      </w:r>
      <w:proofErr w:type="spellEnd"/>
      <w:r>
        <w:t xml:space="preserve"> and </w:t>
      </w:r>
      <w:proofErr w:type="spellStart"/>
      <w:r>
        <w:t>PharmacoDB</w:t>
      </w:r>
      <w:proofErr w:type="spellEnd"/>
      <w:r>
        <w:t xml:space="preserve"> harmonize drug response data across multiple screens but lack network-based visualization platforms to explore complex relationships among cell lines, drugs, and indications.</w:t>
      </w:r>
    </w:p>
    <w:p w14:paraId="5602D348" w14:textId="77777777" w:rsidR="00EA1315" w:rsidRDefault="00EA1315" w:rsidP="00EA1315"/>
    <w:p w14:paraId="45705A0E" w14:textId="77777777" w:rsidR="00EA1315" w:rsidRDefault="00EA1315" w:rsidP="00EA1315">
      <w:r>
        <w:t xml:space="preserve">To address this, we developed </w:t>
      </w:r>
      <w:proofErr w:type="spellStart"/>
      <w:r>
        <w:t>PharmacoProfiler</w:t>
      </w:r>
      <w:proofErr w:type="spellEnd"/>
      <w:r>
        <w:t xml:space="preserve">, a web-based platform for interactive tripartite network visualization of drug–cell line–indication associations. It integrates drug sensitivity data from six major pharmacogenomic sources, covering 47,777 compounds and 1,198 cell lines, categorized into 32 tissue types using </w:t>
      </w:r>
      <w:proofErr w:type="spellStart"/>
      <w:r>
        <w:t>Cellosaurus</w:t>
      </w:r>
      <w:proofErr w:type="spellEnd"/>
      <w:r>
        <w:t xml:space="preserve">. Compounds are further classified by inhibiting target families and clinical phases to support mechanistic interpretation. </w:t>
      </w:r>
      <w:proofErr w:type="spellStart"/>
      <w:r>
        <w:t>PharmacoProfiler</w:t>
      </w:r>
      <w:proofErr w:type="spellEnd"/>
      <w:r>
        <w:t xml:space="preserve"> also includes a machine learning–based drug sensitivity predictor, achieving Pearson correlations of 0.6 in intra-platform and 0.4 in cross-platform validation. Users can apply filters, explore interactive networks, export high-resolution outputs, and predict sensitivities for uploaded compounds.</w:t>
      </w:r>
    </w:p>
    <w:p w14:paraId="023BB051" w14:textId="77777777" w:rsidR="00EA1315" w:rsidRDefault="00EA1315" w:rsidP="00EA1315"/>
    <w:p w14:paraId="46E7D61D" w14:textId="77777777" w:rsidR="00EA1315" w:rsidRDefault="00EA1315" w:rsidP="00EA1315">
      <w:r>
        <w:t xml:space="preserve">By uniting pharmacological responses with drug mechanisms and clinical context, </w:t>
      </w:r>
      <w:proofErr w:type="spellStart"/>
      <w:r>
        <w:t>PharmacoProfiler</w:t>
      </w:r>
      <w:proofErr w:type="spellEnd"/>
      <w:r>
        <w:t xml:space="preserve"> serves as a powerful tool for biological insight generation and translational research.</w:t>
      </w:r>
    </w:p>
    <w:p w14:paraId="470DE357" w14:textId="77777777" w:rsidR="00EA1315" w:rsidRDefault="00EA1315" w:rsidP="00EA1315"/>
    <w:p w14:paraId="7AD7520D" w14:textId="77777777" w:rsidR="00EA1315" w:rsidRDefault="00EA1315" w:rsidP="00EA1315">
      <w:r>
        <w:t>## 1. Introduction</w:t>
      </w:r>
    </w:p>
    <w:p w14:paraId="3173A792" w14:textId="77777777" w:rsidR="00EA1315" w:rsidRDefault="00EA1315" w:rsidP="00EA1315"/>
    <w:p w14:paraId="3CF066C7" w14:textId="77777777" w:rsidR="00EA1315" w:rsidRDefault="00EA1315" w:rsidP="00EA1315">
      <w:r>
        <w:t>Personalized cancer therapy depends on understanding how molecular features of tumors influence drug efficacy. Large-scale pharmacogenomic screens (cell line–based drug assays paired with genomic profiles) have yielded rich data for this purpose. For example, the Genomics of Drug Sensitivity in Cancer (</w:t>
      </w:r>
      <w:proofErr w:type="spellStart"/>
      <w:r>
        <w:t>GDSC</w:t>
      </w:r>
      <w:proofErr w:type="spellEnd"/>
      <w:r>
        <w:t xml:space="preserve">) project, in its two major releases, </w:t>
      </w:r>
      <w:proofErr w:type="spellStart"/>
      <w:r>
        <w:t>GDSC1</w:t>
      </w:r>
      <w:proofErr w:type="spellEnd"/>
      <w:r>
        <w:t xml:space="preserve"> and </w:t>
      </w:r>
      <w:proofErr w:type="spellStart"/>
      <w:r>
        <w:t>GDSC2</w:t>
      </w:r>
      <w:proofErr w:type="spellEnd"/>
      <w:r>
        <w:t xml:space="preserve">, has screened approximately 1000 cancer cell lines with over 600 compounds. </w:t>
      </w:r>
      <w:proofErr w:type="spellStart"/>
      <w:r>
        <w:t>GDSC1</w:t>
      </w:r>
      <w:proofErr w:type="spellEnd"/>
      <w:r>
        <w:t xml:space="preserve"> focused on a broad panel of cell lines and drugs, while </w:t>
      </w:r>
      <w:proofErr w:type="spellStart"/>
      <w:r>
        <w:t>GDSC2</w:t>
      </w:r>
      <w:proofErr w:type="spellEnd"/>
      <w:r>
        <w:t xml:space="preserve"> updated the screening with a focus on more clinically relevant drugs and cell lines, providing a more contemporary dataset [1]. The Cancer Cell Line Encyclopedia (</w:t>
      </w:r>
      <w:proofErr w:type="spellStart"/>
      <w:r>
        <w:t>CCLE</w:t>
      </w:r>
      <w:proofErr w:type="spellEnd"/>
      <w:r>
        <w:t xml:space="preserve">) profiled approximately 1000 cell lines (479 of which were tested with 24 drugs) [2]. The NCI-60 panel originally contained activity data for over 48,000 </w:t>
      </w:r>
      <w:r>
        <w:lastRenderedPageBreak/>
        <w:t>compounds across 60 cell lines, but only approximately 20,000 compounds fulfilled the quality control criteria according to dataset metadata [3]. The Genentech Cell Line Screening Initiative (</w:t>
      </w:r>
      <w:proofErr w:type="spellStart"/>
      <w:r>
        <w:t>gCSI</w:t>
      </w:r>
      <w:proofErr w:type="spellEnd"/>
      <w:r>
        <w:t xml:space="preserve">) independently tested 754 cell lines with 16 overlapping drugs [4]. Additionally, the </w:t>
      </w:r>
      <w:proofErr w:type="spellStart"/>
      <w:r>
        <w:t>FIMM</w:t>
      </w:r>
      <w:proofErr w:type="spellEnd"/>
      <w:r>
        <w:t xml:space="preserve"> (Finnish Institute for Molecular Medicine) dataset includes 50 lines screened against 52 drugs [5]. These resources use different assays (e.g. </w:t>
      </w:r>
      <w:proofErr w:type="spellStart"/>
      <w:r>
        <w:t>CellTiter</w:t>
      </w:r>
      <w:proofErr w:type="spellEnd"/>
      <w:r>
        <w:t xml:space="preserve">-Glo vs. </w:t>
      </w:r>
      <w:proofErr w:type="spellStart"/>
      <w:r>
        <w:t>Sulforhodamine</w:t>
      </w:r>
      <w:proofErr w:type="spellEnd"/>
      <w:r>
        <w:t xml:space="preserve"> B) and data formats. As a result, direct comparison or integration of these studies is challenging due to inconsistent identifiers and protocols.</w:t>
      </w:r>
    </w:p>
    <w:p w14:paraId="6DA3B8DB" w14:textId="77777777" w:rsidR="00EA1315" w:rsidRDefault="00EA1315" w:rsidP="00EA1315"/>
    <w:p w14:paraId="3CF79E39" w14:textId="77777777" w:rsidR="00EA1315" w:rsidRDefault="00EA1315" w:rsidP="00EA1315">
      <w:r>
        <w:t>### 1.1. Existing Pharmacogenomic Databases and Integration Challenges</w:t>
      </w:r>
    </w:p>
    <w:p w14:paraId="027DC382" w14:textId="77777777" w:rsidR="00EA1315" w:rsidRDefault="00EA1315" w:rsidP="00EA1315"/>
    <w:p w14:paraId="2DC1FAB0" w14:textId="77777777" w:rsidR="00EA1315" w:rsidRDefault="00EA1315" w:rsidP="00EA1315">
      <w:r>
        <w:t xml:space="preserve">Several prominent databases focus on cancer pharmacogenomics, providing extensive data on drug sensitivity in cancer cell lines. The </w:t>
      </w:r>
      <w:proofErr w:type="spellStart"/>
      <w:r>
        <w:t>GDSC</w:t>
      </w:r>
      <w:proofErr w:type="spellEnd"/>
      <w:r>
        <w:t xml:space="preserve"> project has addressed integration challenges by implementing standardized protocols for cell line authentication and drug screening across its two releases, ensuring data consistency and reproducibility [1]. The </w:t>
      </w:r>
      <w:proofErr w:type="spellStart"/>
      <w:r>
        <w:t>CCLE</w:t>
      </w:r>
      <w:proofErr w:type="spellEnd"/>
      <w:r>
        <w:t xml:space="preserve"> project has tackled integration challenges through comprehensive genomic characterization and standardized experimental protocols, enabling robust cross-platform comparisons [2]. The NCI-60 database has addressed data harmonization through rigorous quality control measures and standardized assay protocols, making it a benchmark for drug discovery [3]. The </w:t>
      </w:r>
      <w:proofErr w:type="spellStart"/>
      <w:r>
        <w:t>gCSI</w:t>
      </w:r>
      <w:proofErr w:type="spellEnd"/>
      <w:r>
        <w:t xml:space="preserve"> initiative specifically designed their screening to enable direct comparison with </w:t>
      </w:r>
      <w:proofErr w:type="spellStart"/>
      <w:r>
        <w:t>GDSC</w:t>
      </w:r>
      <w:proofErr w:type="spellEnd"/>
      <w:r>
        <w:t xml:space="preserve"> and </w:t>
      </w:r>
      <w:proofErr w:type="spellStart"/>
      <w:r>
        <w:t>CCLE</w:t>
      </w:r>
      <w:proofErr w:type="spellEnd"/>
      <w:r>
        <w:t xml:space="preserve"> data, implementing identical experimental conditions where possible [4].</w:t>
      </w:r>
    </w:p>
    <w:p w14:paraId="05BB0F14" w14:textId="77777777" w:rsidR="00EA1315" w:rsidRDefault="00EA1315" w:rsidP="00EA1315"/>
    <w:p w14:paraId="743E3446" w14:textId="77777777" w:rsidR="00EA1315" w:rsidRDefault="00EA1315" w:rsidP="00EA1315">
      <w:r>
        <w:t xml:space="preserve">Despite these individual efforts, the proliferation of large-scale pharmacogenomics datasets has highlighted a critical need for comprehensive harmonization across platforms. Different experimental protocols, data normalization methods, and varied nomenclature across databases create fragmentation, hindering comprehensive analysis and the identification of robust biomarkers. Existing tools such as </w:t>
      </w:r>
      <w:proofErr w:type="spellStart"/>
      <w:r>
        <w:t>GDSC</w:t>
      </w:r>
      <w:proofErr w:type="spellEnd"/>
      <w:r>
        <w:t xml:space="preserve">, </w:t>
      </w:r>
      <w:proofErr w:type="spellStart"/>
      <w:r>
        <w:t>DepMap</w:t>
      </w:r>
      <w:proofErr w:type="spellEnd"/>
      <w:r>
        <w:t xml:space="preserve">, </w:t>
      </w:r>
      <w:proofErr w:type="spellStart"/>
      <w:r>
        <w:t>PharmacoDB</w:t>
      </w:r>
      <w:proofErr w:type="spellEnd"/>
      <w:r>
        <w:t xml:space="preserve">, and </w:t>
      </w:r>
      <w:proofErr w:type="spellStart"/>
      <w:r>
        <w:t>CellMiner</w:t>
      </w:r>
      <w:proofErr w:type="spellEnd"/>
      <w:r>
        <w:t xml:space="preserve"> partially address data integration but lack a unified analytics interface that combines network-based visualization with predictive modeling capabilities.</w:t>
      </w:r>
    </w:p>
    <w:p w14:paraId="1168629C" w14:textId="77777777" w:rsidR="00EA1315" w:rsidRDefault="00EA1315" w:rsidP="00EA1315"/>
    <w:p w14:paraId="6C9BB3D7" w14:textId="77777777" w:rsidR="00EA1315" w:rsidRDefault="00EA1315" w:rsidP="00EA1315">
      <w:r>
        <w:t xml:space="preserve">To address the growing need for comprehensive analysis and interpretation of pharmacogenomics data, we introduce </w:t>
      </w:r>
      <w:proofErr w:type="spellStart"/>
      <w:r>
        <w:t>PharmacoProfiler</w:t>
      </w:r>
      <w:proofErr w:type="spellEnd"/>
      <w:r>
        <w:t xml:space="preserve"> (https://pharmacoprofiler.com/), a novel web application designed to harmonize diverse datasets and facilitate integrative analysis of drug response in the context of drug-disease and drug-target associations. Our platform offers several key novelties that distinguish it from existing tools. First, </w:t>
      </w:r>
      <w:proofErr w:type="spellStart"/>
      <w:r>
        <w:t>PharmacoProfiler</w:t>
      </w:r>
      <w:proofErr w:type="spellEnd"/>
      <w:r>
        <w:t xml:space="preserve"> features a unique tripartite network visualization that intuitively connects cell lines, drugs, and genes/targets, specifically focusing on drug responses to reveal complex relationships. Second, it meticulously harmonizes and standardizes data from six major pharmacogenomics databases (</w:t>
      </w:r>
      <w:proofErr w:type="spellStart"/>
      <w:r>
        <w:t>GDSC1</w:t>
      </w:r>
      <w:proofErr w:type="spellEnd"/>
      <w:r>
        <w:t xml:space="preserve">, </w:t>
      </w:r>
      <w:proofErr w:type="spellStart"/>
      <w:r>
        <w:t>GDSC2</w:t>
      </w:r>
      <w:proofErr w:type="spellEnd"/>
      <w:r>
        <w:t xml:space="preserve">, </w:t>
      </w:r>
      <w:proofErr w:type="spellStart"/>
      <w:r>
        <w:t>CCLE</w:t>
      </w:r>
      <w:proofErr w:type="spellEnd"/>
      <w:r>
        <w:t xml:space="preserve">, NCI-60, </w:t>
      </w:r>
      <w:proofErr w:type="spellStart"/>
      <w:r>
        <w:t>FIMM</w:t>
      </w:r>
      <w:proofErr w:type="spellEnd"/>
      <w:r>
        <w:t xml:space="preserve">, </w:t>
      </w:r>
      <w:proofErr w:type="spellStart"/>
      <w:r>
        <w:t>gCSI</w:t>
      </w:r>
      <w:proofErr w:type="spellEnd"/>
      <w:r>
        <w:t xml:space="preserve">), providing an unprecedentedly comprehensive and consistent dataset. Third, our web application </w:t>
      </w:r>
      <w:r>
        <w:lastRenderedPageBreak/>
        <w:t xml:space="preserve">incorporates extensive filtering options, allowing users to refine their queries based on various criteria such as target class, cell line class, and drug class, thereby enabling highly specific and relevant data exploration. Finally, </w:t>
      </w:r>
      <w:proofErr w:type="spellStart"/>
      <w:r>
        <w:t>PharmacoProfiler</w:t>
      </w:r>
      <w:proofErr w:type="spellEnd"/>
      <w:r>
        <w:t xml:space="preserve"> integrates a robust machine learning model capable of predicting new drug response endpoints, offering a powerful tool for drug </w:t>
      </w:r>
      <w:proofErr w:type="gramStart"/>
      <w:r>
        <w:t>repurposing</w:t>
      </w:r>
      <w:proofErr w:type="gramEnd"/>
      <w:r>
        <w:t xml:space="preserve"> and the identification of novel therapeutic strategies. By seamlessly integrating multi-omics data from these pharmacogenomics portals, our web application provides researchers and clinicians with a unified platform for exploring the molecular mechanisms underlying therapeutic efficacy and resistance across diverse disease contexts.</w:t>
      </w:r>
    </w:p>
    <w:p w14:paraId="2C4F2FA6" w14:textId="77777777" w:rsidR="00EA1315" w:rsidRDefault="00EA1315" w:rsidP="00EA1315"/>
    <w:p w14:paraId="74E3C68C" w14:textId="77777777" w:rsidR="00EA1315" w:rsidRDefault="00EA1315" w:rsidP="00EA1315">
      <w:r>
        <w:t>## 2. Methods</w:t>
      </w:r>
    </w:p>
    <w:p w14:paraId="6144E17E" w14:textId="77777777" w:rsidR="00EA1315" w:rsidRDefault="00EA1315" w:rsidP="00EA1315"/>
    <w:p w14:paraId="2A8B89B3" w14:textId="77777777" w:rsidR="00EA1315" w:rsidRDefault="00EA1315" w:rsidP="00EA1315">
      <w:r>
        <w:t>### 2.1. Drug Response Data Sources and Statistics</w:t>
      </w:r>
    </w:p>
    <w:p w14:paraId="462E5338" w14:textId="77777777" w:rsidR="00EA1315" w:rsidRDefault="00EA1315" w:rsidP="00EA1315"/>
    <w:p w14:paraId="7A3B7836" w14:textId="77777777" w:rsidR="00EA1315" w:rsidRDefault="00EA1315" w:rsidP="00EA1315">
      <w:r>
        <w:t xml:space="preserve">We aggregated six major cancer cell–line drug-screen datasets: </w:t>
      </w:r>
      <w:proofErr w:type="spellStart"/>
      <w:r>
        <w:t>GDSC1</w:t>
      </w:r>
      <w:proofErr w:type="spellEnd"/>
      <w:r>
        <w:t xml:space="preserve">, </w:t>
      </w:r>
      <w:proofErr w:type="spellStart"/>
      <w:r>
        <w:t>GDSC2</w:t>
      </w:r>
      <w:proofErr w:type="spellEnd"/>
      <w:r>
        <w:t xml:space="preserve">, </w:t>
      </w:r>
      <w:proofErr w:type="spellStart"/>
      <w:r>
        <w:t>CCLE</w:t>
      </w:r>
      <w:proofErr w:type="spellEnd"/>
      <w:r>
        <w:t xml:space="preserve">, NCI-60, </w:t>
      </w:r>
      <w:proofErr w:type="spellStart"/>
      <w:r>
        <w:t>gCSI</w:t>
      </w:r>
      <w:proofErr w:type="spellEnd"/>
      <w:r>
        <w:t xml:space="preserve">, and </w:t>
      </w:r>
      <w:proofErr w:type="spellStart"/>
      <w:r>
        <w:t>FIMM</w:t>
      </w:r>
      <w:proofErr w:type="spellEnd"/>
      <w:r>
        <w:t xml:space="preserve"> (Table 1). For each, we obtained raw dose–response data (IC₅₀ or equivalent) from the original portals or publications, together with cell line and compound metadata.</w:t>
      </w:r>
    </w:p>
    <w:p w14:paraId="567FACE5" w14:textId="77777777" w:rsidR="00EA1315" w:rsidRDefault="00EA1315" w:rsidP="00EA1315"/>
    <w:p w14:paraId="7B18C200" w14:textId="77777777" w:rsidR="00EA1315" w:rsidRDefault="00EA1315" w:rsidP="00EA1315">
      <w:r>
        <w:t xml:space="preserve">#### 2.1.1. </w:t>
      </w:r>
      <w:proofErr w:type="spellStart"/>
      <w:r>
        <w:t>GDSC1</w:t>
      </w:r>
      <w:proofErr w:type="spellEnd"/>
      <w:r>
        <w:t xml:space="preserve"> (Genomics of Drug Sensitivity in Cancer, Release 1)</w:t>
      </w:r>
    </w:p>
    <w:p w14:paraId="7FD78104" w14:textId="77777777" w:rsidR="00EA1315" w:rsidRDefault="00EA1315" w:rsidP="00EA1315"/>
    <w:p w14:paraId="097D82F3" w14:textId="77777777" w:rsidR="00EA1315" w:rsidRDefault="00EA1315" w:rsidP="00EA1315">
      <w:proofErr w:type="spellStart"/>
      <w:r>
        <w:t>GDSC1</w:t>
      </w:r>
      <w:proofErr w:type="spellEnd"/>
      <w:r>
        <w:t xml:space="preserve"> comprises approximately 970 cancer cell lines and 403 compounds. Cells were treated for 72 </w:t>
      </w:r>
      <w:proofErr w:type="gramStart"/>
      <w:r>
        <w:t>hours</w:t>
      </w:r>
      <w:proofErr w:type="gramEnd"/>
      <w:r>
        <w:t xml:space="preserve"> and viability was measured by fluorescent DNA dyes (</w:t>
      </w:r>
      <w:proofErr w:type="spellStart"/>
      <w:r>
        <w:t>Syto60</w:t>
      </w:r>
      <w:proofErr w:type="spellEnd"/>
      <w:r>
        <w:t xml:space="preserve">) or </w:t>
      </w:r>
      <w:proofErr w:type="spellStart"/>
      <w:r>
        <w:t>CellTiter</w:t>
      </w:r>
      <w:proofErr w:type="spellEnd"/>
      <w:r>
        <w:t xml:space="preserve">-Glo. Dose–response curves were fitted to derive IC₅₀ values, providing approximately 333,000 IC₅₀ measurements. </w:t>
      </w:r>
      <w:proofErr w:type="spellStart"/>
      <w:r>
        <w:t>GDSC1</w:t>
      </w:r>
      <w:proofErr w:type="spellEnd"/>
      <w:r>
        <w:t xml:space="preserve"> employs a high-throughput screening approach to assess drug sensitivity, with cell lines cultured in 384-well plates and exposed to a range of drug concentrations. The primary metric for drug sensitivity is the IC₅₀ (half-maximal inhibitory concentration) or AUC (Area Under the Curve). Data normalization and quality control procedures are rigorously applied to ensure data reliability [1].</w:t>
      </w:r>
    </w:p>
    <w:p w14:paraId="2F154792" w14:textId="77777777" w:rsidR="00EA1315" w:rsidRDefault="00EA1315" w:rsidP="00EA1315"/>
    <w:p w14:paraId="5E6774B8" w14:textId="77777777" w:rsidR="00EA1315" w:rsidRDefault="00EA1315" w:rsidP="00EA1315">
      <w:r>
        <w:t xml:space="preserve">#### 2.1.2. </w:t>
      </w:r>
      <w:proofErr w:type="spellStart"/>
      <w:r>
        <w:t>GDSC2</w:t>
      </w:r>
      <w:proofErr w:type="spellEnd"/>
      <w:r>
        <w:t xml:space="preserve"> (Genomics of Drug Sensitivity in Cancer, Release 2)</w:t>
      </w:r>
    </w:p>
    <w:p w14:paraId="41F59807" w14:textId="77777777" w:rsidR="00EA1315" w:rsidRDefault="00EA1315" w:rsidP="00EA1315"/>
    <w:p w14:paraId="05D60E93" w14:textId="77777777" w:rsidR="00EA1315" w:rsidRDefault="00EA1315" w:rsidP="00EA1315">
      <w:proofErr w:type="spellStart"/>
      <w:r>
        <w:t>GDSC2</w:t>
      </w:r>
      <w:proofErr w:type="spellEnd"/>
      <w:r>
        <w:t xml:space="preserve"> comprises approximately 970 cancer cell lines and 297 compounds, with a focus on more clinically relevant drugs compared to </w:t>
      </w:r>
      <w:proofErr w:type="spellStart"/>
      <w:r>
        <w:t>GDSC1</w:t>
      </w:r>
      <w:proofErr w:type="spellEnd"/>
      <w:r>
        <w:t xml:space="preserve">. </w:t>
      </w:r>
      <w:proofErr w:type="gramStart"/>
      <w:r>
        <w:t>Similar to</w:t>
      </w:r>
      <w:proofErr w:type="gramEnd"/>
      <w:r>
        <w:t xml:space="preserve"> </w:t>
      </w:r>
      <w:proofErr w:type="spellStart"/>
      <w:r>
        <w:t>GDSC1</w:t>
      </w:r>
      <w:proofErr w:type="spellEnd"/>
      <w:r>
        <w:t xml:space="preserve">, cells were treated for 72 </w:t>
      </w:r>
      <w:proofErr w:type="gramStart"/>
      <w:r>
        <w:t>hours</w:t>
      </w:r>
      <w:proofErr w:type="gramEnd"/>
      <w:r>
        <w:t xml:space="preserve"> and viability was measured using </w:t>
      </w:r>
      <w:proofErr w:type="spellStart"/>
      <w:r>
        <w:t>CellTiter</w:t>
      </w:r>
      <w:proofErr w:type="spellEnd"/>
      <w:r>
        <w:t xml:space="preserve">-Glo assays. Dose–response curves were fitted to derive IC₅₀ values, providing approximately 243,000 IC₅₀ measurements. </w:t>
      </w:r>
      <w:proofErr w:type="spellStart"/>
      <w:r>
        <w:t>GDSC2</w:t>
      </w:r>
      <w:proofErr w:type="spellEnd"/>
      <w:r>
        <w:t xml:space="preserve"> incorporates lessons learned from </w:t>
      </w:r>
      <w:proofErr w:type="spellStart"/>
      <w:r>
        <w:t>GDSC1</w:t>
      </w:r>
      <w:proofErr w:type="spellEnd"/>
      <w:r>
        <w:t xml:space="preserve">, with improved </w:t>
      </w:r>
      <w:r>
        <w:lastRenderedPageBreak/>
        <w:t>experimental protocols and enhanced quality control measures to ensure higher data quality and clinical relevance [1].</w:t>
      </w:r>
    </w:p>
    <w:p w14:paraId="7FF9E28F" w14:textId="77777777" w:rsidR="00EA1315" w:rsidRDefault="00EA1315" w:rsidP="00EA1315"/>
    <w:p w14:paraId="30757AE4" w14:textId="77777777" w:rsidR="00EA1315" w:rsidRDefault="00EA1315" w:rsidP="00EA1315">
      <w:r>
        <w:t xml:space="preserve">#### 2.1.3. </w:t>
      </w:r>
      <w:proofErr w:type="spellStart"/>
      <w:r>
        <w:t>CCLE</w:t>
      </w:r>
      <w:proofErr w:type="spellEnd"/>
      <w:r>
        <w:t xml:space="preserve"> (Cancer Cell Line Encyclopedia)</w:t>
      </w:r>
    </w:p>
    <w:p w14:paraId="25F848E2" w14:textId="77777777" w:rsidR="00EA1315" w:rsidRDefault="00EA1315" w:rsidP="00EA1315"/>
    <w:p w14:paraId="4110C797" w14:textId="77777777" w:rsidR="00EA1315" w:rsidRDefault="00EA1315" w:rsidP="00EA1315">
      <w:r>
        <w:t xml:space="preserve">The </w:t>
      </w:r>
      <w:proofErr w:type="spellStart"/>
      <w:r>
        <w:t>CCLE</w:t>
      </w:r>
      <w:proofErr w:type="spellEnd"/>
      <w:r>
        <w:t xml:space="preserve"> project profiled 947 cell lines with genomic data and measured responses of 479 cell lines to 24 anticancer drugs. We used the updated </w:t>
      </w:r>
      <w:proofErr w:type="spellStart"/>
      <w:r>
        <w:t>CCLE</w:t>
      </w:r>
      <w:proofErr w:type="spellEnd"/>
      <w:r>
        <w:t>/</w:t>
      </w:r>
      <w:proofErr w:type="spellStart"/>
      <w:r>
        <w:t>DepMap</w:t>
      </w:r>
      <w:proofErr w:type="spellEnd"/>
      <w:r>
        <w:t xml:space="preserve"> releases which include 22 drugs screened across 1061 lines using </w:t>
      </w:r>
      <w:proofErr w:type="spellStart"/>
      <w:r>
        <w:t>CellTiter</w:t>
      </w:r>
      <w:proofErr w:type="spellEnd"/>
      <w:r>
        <w:t xml:space="preserve">-Glo assay for 72 hours. </w:t>
      </w:r>
      <w:proofErr w:type="spellStart"/>
      <w:r>
        <w:t>CCLE</w:t>
      </w:r>
      <w:proofErr w:type="spellEnd"/>
      <w:r>
        <w:t xml:space="preserve"> utilizes a similar high-throughput screening methodology, with extensive genomic characterization including gene expression profiling (RNA-seq), DNA sequencing (whole-exome sequencing), and copy number analysis [2].</w:t>
      </w:r>
    </w:p>
    <w:p w14:paraId="3BC5BC41" w14:textId="77777777" w:rsidR="00EA1315" w:rsidRDefault="00EA1315" w:rsidP="00EA1315"/>
    <w:p w14:paraId="2BD3DFA2" w14:textId="77777777" w:rsidR="00EA1315" w:rsidRDefault="00EA1315" w:rsidP="00EA1315">
      <w:r>
        <w:t>#### 2.1.4. NCI-60</w:t>
      </w:r>
    </w:p>
    <w:p w14:paraId="7A371168" w14:textId="77777777" w:rsidR="00EA1315" w:rsidRDefault="00EA1315" w:rsidP="00EA1315"/>
    <w:p w14:paraId="2DA3AE88" w14:textId="77777777" w:rsidR="00EA1315" w:rsidRDefault="00EA1315" w:rsidP="00EA1315">
      <w:r>
        <w:t xml:space="preserve">The NCI-60 panel encompasses 60 human tumor lines and originally contained activity data for over 48,000 compounds. However, only approximately 20,000 compounds fulfilled the quality control criteria according to dataset metadata available at https://discover.nci.nih.gov/cellminer/datasets.do [3]. All compounds were screened using the </w:t>
      </w:r>
      <w:proofErr w:type="spellStart"/>
      <w:r>
        <w:t>Sulforhodamine</w:t>
      </w:r>
      <w:proofErr w:type="spellEnd"/>
      <w:r>
        <w:t xml:space="preserve"> B (SRB) assay measuring cell proliferation after 48–72 hours in a one-dose plus five-dose format, yielding GI₅₀ values (concentration for 50% growth inhibition). We incorporated the preprocessed NCI-60 drug activity matrix from the </w:t>
      </w:r>
      <w:proofErr w:type="spellStart"/>
      <w:r>
        <w:t>CellMiner</w:t>
      </w:r>
      <w:proofErr w:type="spellEnd"/>
      <w:r>
        <w:t xml:space="preserve"> database.</w:t>
      </w:r>
    </w:p>
    <w:p w14:paraId="7B6B52AC" w14:textId="77777777" w:rsidR="00EA1315" w:rsidRDefault="00EA1315" w:rsidP="00EA1315"/>
    <w:p w14:paraId="5F4F8452" w14:textId="77777777" w:rsidR="00EA1315" w:rsidRDefault="00EA1315" w:rsidP="00EA1315">
      <w:r>
        <w:t xml:space="preserve">#### 2.1.5. </w:t>
      </w:r>
      <w:proofErr w:type="spellStart"/>
      <w:r>
        <w:t>gCSI</w:t>
      </w:r>
      <w:proofErr w:type="spellEnd"/>
      <w:r>
        <w:t xml:space="preserve"> (Genentech Cell Line Screening Initiative)</w:t>
      </w:r>
    </w:p>
    <w:p w14:paraId="0894371A" w14:textId="77777777" w:rsidR="00EA1315" w:rsidRDefault="00EA1315" w:rsidP="00EA1315"/>
    <w:p w14:paraId="391296D8" w14:textId="77777777" w:rsidR="00EA1315" w:rsidRDefault="00EA1315" w:rsidP="00EA1315">
      <w:proofErr w:type="spellStart"/>
      <w:r>
        <w:t>gCSI</w:t>
      </w:r>
      <w:proofErr w:type="spellEnd"/>
      <w:r>
        <w:t xml:space="preserve"> is an independent dataset specifically designed to compare </w:t>
      </w:r>
      <w:proofErr w:type="spellStart"/>
      <w:r>
        <w:t>CCLE</w:t>
      </w:r>
      <w:proofErr w:type="spellEnd"/>
      <w:r>
        <w:t xml:space="preserve"> and </w:t>
      </w:r>
      <w:proofErr w:type="spellStart"/>
      <w:r>
        <w:t>GDSC</w:t>
      </w:r>
      <w:proofErr w:type="spellEnd"/>
      <w:r>
        <w:t xml:space="preserve">. It includes 754 cell lines tested with 16 shared drugs. Assays used </w:t>
      </w:r>
      <w:proofErr w:type="spellStart"/>
      <w:r>
        <w:t>CellTiter</w:t>
      </w:r>
      <w:proofErr w:type="spellEnd"/>
      <w:r>
        <w:t>-Glo (72 hours</w:t>
      </w:r>
      <w:proofErr w:type="gramStart"/>
      <w:r>
        <w:t>)</w:t>
      </w:r>
      <w:proofErr w:type="gramEnd"/>
      <w:r>
        <w:t xml:space="preserve"> and each experiment was replicated multiple times (6455 total experiments). </w:t>
      </w:r>
      <w:proofErr w:type="spellStart"/>
      <w:r>
        <w:t>gCSI</w:t>
      </w:r>
      <w:proofErr w:type="spellEnd"/>
      <w:r>
        <w:t xml:space="preserve"> provides dose–response curves for each cell–drug pair and employs systematic and large-scale approaches to drug screening, coupled with comprehensive genomic characterization [4].</w:t>
      </w:r>
    </w:p>
    <w:p w14:paraId="1931B15D" w14:textId="77777777" w:rsidR="00EA1315" w:rsidRDefault="00EA1315" w:rsidP="00EA1315"/>
    <w:p w14:paraId="226E0EE9" w14:textId="77777777" w:rsidR="00EA1315" w:rsidRDefault="00EA1315" w:rsidP="00EA1315">
      <w:r>
        <w:t xml:space="preserve">#### 2.1.6. </w:t>
      </w:r>
      <w:proofErr w:type="spellStart"/>
      <w:r>
        <w:t>FIMM</w:t>
      </w:r>
      <w:proofErr w:type="spellEnd"/>
      <w:r>
        <w:t xml:space="preserve"> Oncology Panel</w:t>
      </w:r>
    </w:p>
    <w:p w14:paraId="733EB71D" w14:textId="77777777" w:rsidR="00EA1315" w:rsidRDefault="00EA1315" w:rsidP="00EA1315"/>
    <w:p w14:paraId="4803D5C3" w14:textId="77777777" w:rsidR="00EA1315" w:rsidRDefault="00EA1315" w:rsidP="00EA1315">
      <w:r>
        <w:t>The Finnish Institute for Molecular Medicine (</w:t>
      </w:r>
      <w:proofErr w:type="spellStart"/>
      <w:r>
        <w:t>FIMM</w:t>
      </w:r>
      <w:proofErr w:type="spellEnd"/>
      <w:r>
        <w:t xml:space="preserve">) screened 50 cancer cell lines against 52 compounds. Assays were performed with </w:t>
      </w:r>
      <w:proofErr w:type="spellStart"/>
      <w:r>
        <w:t>CellTiter</w:t>
      </w:r>
      <w:proofErr w:type="spellEnd"/>
      <w:r>
        <w:t xml:space="preserve">-Glo (72 hours). </w:t>
      </w:r>
      <w:proofErr w:type="spellStart"/>
      <w:r>
        <w:t>FIMM</w:t>
      </w:r>
      <w:proofErr w:type="spellEnd"/>
      <w:r>
        <w:t xml:space="preserve"> employs a high-throughput drug sensitivity testing platform using a luminescence-</w:t>
      </w:r>
      <w:r>
        <w:lastRenderedPageBreak/>
        <w:t>based viability assay, with cells cultured in 384-well plates and exposed to a 5-</w:t>
      </w:r>
      <w:proofErr w:type="spellStart"/>
      <w:r>
        <w:t>log10</w:t>
      </w:r>
      <w:proofErr w:type="spellEnd"/>
      <w:r>
        <w:t xml:space="preserve"> concentration range of compounds. </w:t>
      </w:r>
      <w:proofErr w:type="spellStart"/>
      <w:r>
        <w:t>FIMM's</w:t>
      </w:r>
      <w:proofErr w:type="spellEnd"/>
      <w:r>
        <w:t xml:space="preserve"> methodology emphasizes the use of patient-derived cells and integrates molecular profiling data [5].</w:t>
      </w:r>
    </w:p>
    <w:p w14:paraId="562C67FD" w14:textId="77777777" w:rsidR="00EA1315" w:rsidRDefault="00EA1315" w:rsidP="00EA1315"/>
    <w:p w14:paraId="009E4010" w14:textId="77777777" w:rsidR="00EA1315" w:rsidRDefault="00EA1315" w:rsidP="00EA1315">
      <w:r>
        <w:t>### 2.2. Cell Line Harmonization and Mapping</w:t>
      </w:r>
    </w:p>
    <w:p w14:paraId="520C4F8C" w14:textId="77777777" w:rsidR="00EA1315" w:rsidRDefault="00EA1315" w:rsidP="00EA1315"/>
    <w:p w14:paraId="3D548E5E" w14:textId="77777777" w:rsidR="00EA1315" w:rsidRDefault="00EA1315" w:rsidP="00EA1315">
      <w:r>
        <w:t xml:space="preserve">To unify cell line identifiers across datasets, we implemented a comprehensive multi-step curation process. The harmonization workflow involved exact and fuzzy name matching followed by systematic </w:t>
      </w:r>
      <w:proofErr w:type="spellStart"/>
      <w:r>
        <w:t>Cellosaurus</w:t>
      </w:r>
      <w:proofErr w:type="spellEnd"/>
      <w:r>
        <w:t xml:space="preserve"> lookup. For any cell line name without a clear match, we queried </w:t>
      </w:r>
      <w:proofErr w:type="spellStart"/>
      <w:r>
        <w:t>Cellosaurus</w:t>
      </w:r>
      <w:proofErr w:type="spellEnd"/>
      <w:r>
        <w:t xml:space="preserve"> (the comprehensive cell line registry) to obtain synonyms and standardized identifiers. This approach allowed consistent mapping across databases and maximized overlap between sources. The process included statistical validation of mapping accuracy and methodology verification through cross-referencing with multiple databases. As a result, we resolved 1,198 unique cell lines across all datasets, each linked with </w:t>
      </w:r>
      <w:proofErr w:type="spellStart"/>
      <w:r>
        <w:t>Cellosaurus</w:t>
      </w:r>
      <w:proofErr w:type="spellEnd"/>
      <w:r>
        <w:t xml:space="preserve"> accession numbers and standardized tissue type classifications. The harmonization process achieved a mapping success rate of over 95% across all databases, with detailed statistics on cell line overlap and tissue distribution provided in our web interface.</w:t>
      </w:r>
    </w:p>
    <w:p w14:paraId="6FE68FA7" w14:textId="77777777" w:rsidR="00EA1315" w:rsidRDefault="00EA1315" w:rsidP="00EA1315"/>
    <w:p w14:paraId="7B21DBE5" w14:textId="77777777" w:rsidR="00EA1315" w:rsidRDefault="00EA1315" w:rsidP="00EA1315">
      <w:r>
        <w:t>### 2.3. Drug Information Integration</w:t>
      </w:r>
    </w:p>
    <w:p w14:paraId="5CFDE57D" w14:textId="77777777" w:rsidR="00EA1315" w:rsidRDefault="00EA1315" w:rsidP="00EA1315"/>
    <w:p w14:paraId="1359CBA6" w14:textId="77777777" w:rsidR="00EA1315" w:rsidRDefault="00EA1315" w:rsidP="00EA1315">
      <w:r>
        <w:t xml:space="preserve">Drug information was systematically integrated from multiple authoritative sources to provide comprehensive compound characterization. Primary drug identifiers were harmonized using PubChem CIDs and ChEMBL IDs to ensure consistent referencing across datasets. For each compound, we extracted and integrated information including chemical structure (SMILES notation), molecular properties (molecular weight, </w:t>
      </w:r>
      <w:proofErr w:type="spellStart"/>
      <w:r>
        <w:t>logP</w:t>
      </w:r>
      <w:proofErr w:type="spellEnd"/>
      <w:r>
        <w:t xml:space="preserve">, topological polar surface area), target information from ChEMBL database, and clinical phase information from various drug development databases. Drug-target binding affinity data, specifically </w:t>
      </w:r>
      <w:proofErr w:type="spellStart"/>
      <w:r>
        <w:t>pChEMBL</w:t>
      </w:r>
      <w:proofErr w:type="spellEnd"/>
      <w:r>
        <w:t xml:space="preserve"> values, were extracted from the ChEMBL database, representing standardized, negative logarithmic scale of biological activity data (IC₅₀, Ki, </w:t>
      </w:r>
      <w:proofErr w:type="spellStart"/>
      <w:r>
        <w:t>Kd</w:t>
      </w:r>
      <w:proofErr w:type="spellEnd"/>
      <w:r>
        <w:t>) [6]. This comprehensive drug characterization enables mechanistic interpretation of drug responses and supports drug repurposing analyses.</w:t>
      </w:r>
    </w:p>
    <w:p w14:paraId="76E64D9B" w14:textId="77777777" w:rsidR="00EA1315" w:rsidRDefault="00EA1315" w:rsidP="00EA1315"/>
    <w:p w14:paraId="7C3C3D40" w14:textId="77777777" w:rsidR="00EA1315" w:rsidRDefault="00EA1315" w:rsidP="00EA1315">
      <w:r>
        <w:t>### 2.4. Machine Learning Model for Drug Response Prediction</w:t>
      </w:r>
    </w:p>
    <w:p w14:paraId="2E06A987" w14:textId="77777777" w:rsidR="00EA1315" w:rsidRDefault="00EA1315" w:rsidP="00EA1315"/>
    <w:p w14:paraId="50A25B76" w14:textId="77777777" w:rsidR="00EA1315" w:rsidRDefault="00EA1315" w:rsidP="00EA1315">
      <w:r>
        <w:t xml:space="preserve">To enhance the predictive capabilities of </w:t>
      </w:r>
      <w:proofErr w:type="spellStart"/>
      <w:r>
        <w:t>PharmacoProfiler</w:t>
      </w:r>
      <w:proofErr w:type="spellEnd"/>
      <w:r>
        <w:t xml:space="preserve">, we developed a robust machine learning model for drug response prediction, specifically focusing on </w:t>
      </w:r>
      <w:proofErr w:type="spellStart"/>
      <w:r>
        <w:t>pIC</w:t>
      </w:r>
      <w:proofErr w:type="spellEnd"/>
      <w:r>
        <w:t xml:space="preserve">₅₀ values. Our predictive model is built upon an ensemble of decision trees, specifically utilizing a Random Forest Regressor. This algorithm was chosen due to its proven </w:t>
      </w:r>
      <w:r>
        <w:lastRenderedPageBreak/>
        <w:t>effectiveness in handling complex, high-dimensional biological datasets, its ability to capture non-linear relationships between features and drug response, and its inherent robustness to overfitting [7].</w:t>
      </w:r>
    </w:p>
    <w:p w14:paraId="7F9B9947" w14:textId="77777777" w:rsidR="00EA1315" w:rsidRDefault="00EA1315" w:rsidP="00EA1315"/>
    <w:p w14:paraId="0F5429B7" w14:textId="77777777" w:rsidR="00EA1315" w:rsidRDefault="00EA1315" w:rsidP="00EA1315">
      <w:r>
        <w:t xml:space="preserve">The input features for our model are meticulously engineered to capture comprehensive information about both cell lines and compounds. For each cell line, we incorporate omics features including gene expression profiles, mutation status, and copy number variations. For compounds, we utilize </w:t>
      </w:r>
      <w:proofErr w:type="spellStart"/>
      <w:r>
        <w:t>ECFP4</w:t>
      </w:r>
      <w:proofErr w:type="spellEnd"/>
      <w:r>
        <w:t xml:space="preserve"> fingerprints (Extended Connectivity Fingerprints, diameter 4), which are widely recognized for their ability to encode detailed structural and chemical information of molecules [8].</w:t>
      </w:r>
    </w:p>
    <w:p w14:paraId="2AD0FAC5" w14:textId="77777777" w:rsidR="00EA1315" w:rsidRDefault="00EA1315" w:rsidP="00EA1315"/>
    <w:p w14:paraId="2E310E44" w14:textId="77777777" w:rsidR="00EA1315" w:rsidRDefault="00EA1315" w:rsidP="00EA1315">
      <w:proofErr w:type="spellStart"/>
      <w:r>
        <w:t>ECFP4</w:t>
      </w:r>
      <w:proofErr w:type="spellEnd"/>
      <w:r>
        <w:t xml:space="preserve"> fingerprints effectively capture a wide range of molecular features, including atom types, bond types, and connectivity, which are crucial for determining a compound's biological activity. They are highly effective in representing molecular similarity; structurally similar compounds tend to have similar </w:t>
      </w:r>
      <w:proofErr w:type="spellStart"/>
      <w:r>
        <w:t>ECFP4</w:t>
      </w:r>
      <w:proofErr w:type="spellEnd"/>
      <w:r>
        <w:t xml:space="preserve"> fingerprints, which is a fundamental principle in drug discovery and </w:t>
      </w:r>
      <w:proofErr w:type="spellStart"/>
      <w:r>
        <w:t>QSAR</w:t>
      </w:r>
      <w:proofErr w:type="spellEnd"/>
      <w:r>
        <w:t xml:space="preserve"> modeling [8]. Despite their richness, </w:t>
      </w:r>
      <w:proofErr w:type="spellStart"/>
      <w:r>
        <w:t>ECFP4</w:t>
      </w:r>
      <w:proofErr w:type="spellEnd"/>
      <w:r>
        <w:t xml:space="preserve"> fingerprints are computationally efficient to generate and process, making them suitable for large-scale datasets. Furthermore, </w:t>
      </w:r>
      <w:proofErr w:type="spellStart"/>
      <w:r>
        <w:t>ECFP4</w:t>
      </w:r>
      <w:proofErr w:type="spellEnd"/>
      <w:r>
        <w:t xml:space="preserve"> has demonstrated excellent performance in numerous machine learning applications for drug discovery, including activity prediction and virtual screening, making it a reliable choice for our predictive model.</w:t>
      </w:r>
    </w:p>
    <w:p w14:paraId="2AFD111C" w14:textId="77777777" w:rsidR="00EA1315" w:rsidRDefault="00EA1315" w:rsidP="00EA1315"/>
    <w:p w14:paraId="498620CF" w14:textId="77777777" w:rsidR="00EA1315" w:rsidRDefault="00EA1315" w:rsidP="00EA1315">
      <w:r>
        <w:t>### 2.5. Data Preprocessing and Quality Control</w:t>
      </w:r>
    </w:p>
    <w:p w14:paraId="39A58389" w14:textId="77777777" w:rsidR="00EA1315" w:rsidRDefault="00EA1315" w:rsidP="00EA1315"/>
    <w:p w14:paraId="1DB3EC8C" w14:textId="77777777" w:rsidR="00EA1315" w:rsidRDefault="00EA1315" w:rsidP="00EA1315">
      <w:r>
        <w:t xml:space="preserve">Effective data preprocessing was implemented to ensure the quality, consistency, and reliability of the diverse pharmacogenomic datasets. Our preprocessing pipeline addressed data normalization, outlier handling, and comprehensive quality control measures. For dose-response data, raw values were converted to a standardized metric, typically </w:t>
      </w:r>
      <w:proofErr w:type="spellStart"/>
      <w:r>
        <w:t>pIC</w:t>
      </w:r>
      <w:proofErr w:type="spellEnd"/>
      <w:r>
        <w:t>₅₀ (negative logarithm of IC₅₀ in molar units), to enable direct comparisons across platforms. For omics data, quantile normalization was employed to ensure similar distributions across samples, minimizing non-biological variations [9]. Outliers were identified using the Interquartile Range (</w:t>
      </w:r>
      <w:proofErr w:type="spellStart"/>
      <w:r>
        <w:t>IQR</w:t>
      </w:r>
      <w:proofErr w:type="spellEnd"/>
      <w:r>
        <w:t xml:space="preserve">) method and handled through </w:t>
      </w:r>
      <w:proofErr w:type="spellStart"/>
      <w:r>
        <w:t>winsorization</w:t>
      </w:r>
      <w:proofErr w:type="spellEnd"/>
      <w:r>
        <w:t xml:space="preserve"> or removal based on biological plausibility. Missing values in omics data were imputed using K-Nearest Neighbors (KNN) imputation [10].</w:t>
      </w:r>
    </w:p>
    <w:p w14:paraId="1A867F2B" w14:textId="77777777" w:rsidR="00EA1315" w:rsidRDefault="00EA1315" w:rsidP="00EA1315"/>
    <w:p w14:paraId="34C952F6" w14:textId="77777777" w:rsidR="00EA1315" w:rsidRDefault="00EA1315" w:rsidP="00EA1315">
      <w:r>
        <w:t>### 2.6. Web Application Development</w:t>
      </w:r>
    </w:p>
    <w:p w14:paraId="2A808601" w14:textId="77777777" w:rsidR="00EA1315" w:rsidRDefault="00EA1315" w:rsidP="00EA1315"/>
    <w:p w14:paraId="1FA197A7" w14:textId="77777777" w:rsidR="00EA1315" w:rsidRDefault="00EA1315" w:rsidP="00EA1315">
      <w:proofErr w:type="spellStart"/>
      <w:r>
        <w:t>PharmacoProfiler</w:t>
      </w:r>
      <w:proofErr w:type="spellEnd"/>
      <w:r>
        <w:t xml:space="preserve"> was developed as a comprehensive web application using modern web technologies to ensure scalability, performance, and user accessibility. The </w:t>
      </w:r>
      <w:r>
        <w:lastRenderedPageBreak/>
        <w:t>platform architecture consists of a React-based frontend for interactive visualization and a Flask-based backend for data processing and machine learning predictions. The tripartite network visualization was implemented using D3.js to enable interactive exploration of drug-cell line-target relationships. The web application incorporates extensive filtering capabilities, allowing users to refine queries based on tissue type, drug class, target family, and clinical phase. High-resolution export functionality enables users to generate publication-quality figures and data tables.</w:t>
      </w:r>
    </w:p>
    <w:p w14:paraId="1543997E" w14:textId="77777777" w:rsidR="00EA1315" w:rsidRDefault="00EA1315" w:rsidP="00EA1315"/>
    <w:p w14:paraId="5D64369C" w14:textId="77777777" w:rsidR="00EA1315" w:rsidRDefault="00EA1315" w:rsidP="00EA1315">
      <w:r>
        <w:t xml:space="preserve">### 2.7. Integration with Hugging Face Space for On-Demand </w:t>
      </w:r>
      <w:proofErr w:type="spellStart"/>
      <w:r>
        <w:t>pIC</w:t>
      </w:r>
      <w:proofErr w:type="spellEnd"/>
      <w:r>
        <w:t>₅₀ Prediction</w:t>
      </w:r>
    </w:p>
    <w:p w14:paraId="688FF595" w14:textId="77777777" w:rsidR="00EA1315" w:rsidRDefault="00EA1315" w:rsidP="00EA1315"/>
    <w:p w14:paraId="6FACD2F2" w14:textId="75CD3915" w:rsidR="00D901B1" w:rsidRDefault="00EA1315" w:rsidP="00EA1315">
      <w:r>
        <w:t xml:space="preserve">To enhance the accessibility and scalability of our machine learning predictions, </w:t>
      </w:r>
      <w:proofErr w:type="spellStart"/>
      <w:r>
        <w:t>PharmacoProfiler</w:t>
      </w:r>
      <w:proofErr w:type="spellEnd"/>
      <w:r>
        <w:t xml:space="preserve"> integrates with a dedicated Hugging Face Space </w:t>
      </w:r>
      <w:proofErr w:type="gramStart"/>
      <w:r>
        <w:t xml:space="preserve">(https://huggingface.co/spaces/ozcanumut/pic50-prediction-server) that hosts our trained </w:t>
      </w:r>
      <w:proofErr w:type="spellStart"/>
      <w:r>
        <w:t>pIC</w:t>
      </w:r>
      <w:proofErr w:type="spellEnd"/>
      <w:r>
        <w:t>₅₀ prediction model.</w:t>
      </w:r>
      <w:proofErr w:type="gramEnd"/>
      <w:r>
        <w:t xml:space="preserve"> This integration enables real-time, on-demand predictions for user-uploaded compounds without requiring local computational resources. The Hugging Face Space provides a RESTful API that accepts compound SMILES notation and cell line identifiers, returning predicted </w:t>
      </w:r>
      <w:proofErr w:type="spellStart"/>
      <w:r>
        <w:t>pIC</w:t>
      </w:r>
      <w:proofErr w:type="spellEnd"/>
      <w:r>
        <w:t>₅₀ values along with confidence intervals. This cloud-based approach ensures that predictions remain accessible even as the underlying models are updated and improved. The integration maintains data security and privacy while providing seamless user experience through our web interface.</w:t>
      </w:r>
    </w:p>
    <w:p w14:paraId="71D459D4" w14:textId="77777777" w:rsidR="00ED53FF" w:rsidRDefault="00ED53FF" w:rsidP="00EA1315"/>
    <w:p w14:paraId="278512F4" w14:textId="77777777" w:rsidR="00ED53FF" w:rsidRDefault="00ED53FF" w:rsidP="00EA1315"/>
    <w:p w14:paraId="05A52395" w14:textId="77777777" w:rsidR="00ED53FF" w:rsidRDefault="00ED53FF" w:rsidP="00EA1315"/>
    <w:p w14:paraId="7D927054" w14:textId="7584624A" w:rsidR="00ED53FF" w:rsidRDefault="00ED53FF" w:rsidP="00ED53FF">
      <w:proofErr w:type="spellStart"/>
      <w:r>
        <w:t>PharmacoProfiler</w:t>
      </w:r>
      <w:proofErr w:type="spellEnd"/>
      <w:r>
        <w:t xml:space="preserve"> was developed as a comprehensive web application using modern web technologies to ensure scalability, performance, and user accessibility. The platform architecture consists of a </w:t>
      </w:r>
      <w:r>
        <w:t>XXXX</w:t>
      </w:r>
      <w:r>
        <w:t xml:space="preserve">-based frontend for interactive visualization and a </w:t>
      </w:r>
      <w:r>
        <w:t>XXXX</w:t>
      </w:r>
      <w:r>
        <w:t xml:space="preserve">-based backend for data processing and machine learning predictions. The tripartite network visualization was implemented using </w:t>
      </w:r>
      <w:r>
        <w:t>XXXX</w:t>
      </w:r>
      <w:r>
        <w:t xml:space="preserve"> to enable interactive exploration of drug-cell line-target relationships. The web application incorporates extensive filtering capabilities, allowing users to refine queries based on tissue type, drug class, target family, and clinical phase. High-resolution export functionality enables users to generate publication-quality figures and data tables.</w:t>
      </w:r>
    </w:p>
    <w:p w14:paraId="2260FB39" w14:textId="77777777" w:rsidR="00ED53FF" w:rsidRDefault="00ED53FF" w:rsidP="00EA1315"/>
    <w:sectPr w:rsidR="00ED53FF" w:rsidSect="00093680">
      <w:pgSz w:w="11907" w:h="16840" w:code="9"/>
      <w:pgMar w:top="1701" w:right="1418" w:bottom="1701" w:left="2268"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1315"/>
    <w:rsid w:val="00093680"/>
    <w:rsid w:val="00127D44"/>
    <w:rsid w:val="002277C0"/>
    <w:rsid w:val="002B4CDD"/>
    <w:rsid w:val="004C1703"/>
    <w:rsid w:val="00933E8F"/>
    <w:rsid w:val="009D57A0"/>
    <w:rsid w:val="00C53A4B"/>
    <w:rsid w:val="00D2366E"/>
    <w:rsid w:val="00D901B1"/>
    <w:rsid w:val="00DE70E8"/>
    <w:rsid w:val="00EA1315"/>
    <w:rsid w:val="00ED53FF"/>
    <w:rsid w:val="00FC18F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B06C43"/>
  <w15:chartTrackingRefBased/>
  <w15:docId w15:val="{BB03C245-DEE3-4684-A4A6-17E02BB68F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53FF"/>
  </w:style>
  <w:style w:type="paragraph" w:styleId="Heading1">
    <w:name w:val="heading 1"/>
    <w:basedOn w:val="Normal"/>
    <w:next w:val="Normal"/>
    <w:link w:val="Heading1Char"/>
    <w:uiPriority w:val="9"/>
    <w:qFormat/>
    <w:rsid w:val="00EA131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A131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A131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A131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A131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A13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13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13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13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131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A131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A131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A131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A131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A13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13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13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1315"/>
    <w:rPr>
      <w:rFonts w:eastAsiaTheme="majorEastAsia" w:cstheme="majorBidi"/>
      <w:color w:val="272727" w:themeColor="text1" w:themeTint="D8"/>
    </w:rPr>
  </w:style>
  <w:style w:type="paragraph" w:styleId="Title">
    <w:name w:val="Title"/>
    <w:basedOn w:val="Normal"/>
    <w:next w:val="Normal"/>
    <w:link w:val="TitleChar"/>
    <w:uiPriority w:val="10"/>
    <w:qFormat/>
    <w:rsid w:val="00EA13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13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13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13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1315"/>
    <w:pPr>
      <w:spacing w:before="160"/>
      <w:jc w:val="center"/>
    </w:pPr>
    <w:rPr>
      <w:i/>
      <w:iCs/>
      <w:color w:val="404040" w:themeColor="text1" w:themeTint="BF"/>
    </w:rPr>
  </w:style>
  <w:style w:type="character" w:customStyle="1" w:styleId="QuoteChar">
    <w:name w:val="Quote Char"/>
    <w:basedOn w:val="DefaultParagraphFont"/>
    <w:link w:val="Quote"/>
    <w:uiPriority w:val="29"/>
    <w:rsid w:val="00EA1315"/>
    <w:rPr>
      <w:i/>
      <w:iCs/>
      <w:color w:val="404040" w:themeColor="text1" w:themeTint="BF"/>
    </w:rPr>
  </w:style>
  <w:style w:type="paragraph" w:styleId="ListParagraph">
    <w:name w:val="List Paragraph"/>
    <w:basedOn w:val="Normal"/>
    <w:uiPriority w:val="34"/>
    <w:qFormat/>
    <w:rsid w:val="00EA1315"/>
    <w:pPr>
      <w:ind w:left="720"/>
      <w:contextualSpacing/>
    </w:pPr>
  </w:style>
  <w:style w:type="character" w:styleId="IntenseEmphasis">
    <w:name w:val="Intense Emphasis"/>
    <w:basedOn w:val="DefaultParagraphFont"/>
    <w:uiPriority w:val="21"/>
    <w:qFormat/>
    <w:rsid w:val="00EA1315"/>
    <w:rPr>
      <w:i/>
      <w:iCs/>
      <w:color w:val="0F4761" w:themeColor="accent1" w:themeShade="BF"/>
    </w:rPr>
  </w:style>
  <w:style w:type="paragraph" w:styleId="IntenseQuote">
    <w:name w:val="Intense Quote"/>
    <w:basedOn w:val="Normal"/>
    <w:next w:val="Normal"/>
    <w:link w:val="IntenseQuoteChar"/>
    <w:uiPriority w:val="30"/>
    <w:qFormat/>
    <w:rsid w:val="00EA13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A1315"/>
    <w:rPr>
      <w:i/>
      <w:iCs/>
      <w:color w:val="0F4761" w:themeColor="accent1" w:themeShade="BF"/>
    </w:rPr>
  </w:style>
  <w:style w:type="character" w:styleId="IntenseReference">
    <w:name w:val="Intense Reference"/>
    <w:basedOn w:val="DefaultParagraphFont"/>
    <w:uiPriority w:val="32"/>
    <w:qFormat/>
    <w:rsid w:val="00EA131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11792</TotalTime>
  <Pages>7</Pages>
  <Words>2549</Words>
  <Characters>14534</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Umut Onur Ozcan</dc:creator>
  <cp:keywords/>
  <dc:description/>
  <cp:lastModifiedBy>Umut Onur Ozcan</cp:lastModifiedBy>
  <cp:revision>2</cp:revision>
  <dcterms:created xsi:type="dcterms:W3CDTF">2025-08-27T12:49:00Z</dcterms:created>
  <dcterms:modified xsi:type="dcterms:W3CDTF">2025-09-05T11:20:00Z</dcterms:modified>
</cp:coreProperties>
</file>