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Datos maestros ECC Y HANNA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Los datos maestros es toda la informacion que se mueve dentro de SAP, ya sean clientes, proveedor, beneficios, tc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Un dato maestro incluye el nombre, direccion, datos del pago, etc.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Los dato maestros afectan proceso como facturaxion, pagos,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En la transaccion FS00 podemos revisar las transacciones de mayor. el asterisco rojo significa que el campo es obligatorio.</w:t>
      </w:r>
    </w:p>
    <w:p w:rsidR="00000000" w:rsidDel="00000000" w:rsidP="00000000" w:rsidRDefault="00000000" w:rsidRPr="00000000" w14:paraId="0000000A">
      <w:pPr>
        <w:rPr/>
      </w:pPr>
      <w:r w:rsidDel="00000000" w:rsidR="00000000" w:rsidRPr="00000000">
        <w:rPr>
          <w:rtl w:val="0"/>
        </w:rPr>
        <w:t xml:space="preserve">Para ver datos maestros de deudores nos metemos a la transaccion FD03 (en ECC)</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Despues nos metemos a la cuenta de socio y aparece el deudor..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Sap ECC es la version antigua de SAP y el S/4HANA es la version a la que muchos están migrando. En ECC tenemos la transaccion XK01 que sirve para crear un acreedor, para modificar a un acreedor es la transaccion XK02, y para visualizar es XK03.</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La transaccion para crear en compras es MK01, vista financiero es FD03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En activos fijos es AS01, AS02, AS03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 de finanzas, K de acredoers, D de deudores, cuanto treminan en 01 es para crear, 02 modificar y 03 para visualizar.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En S/4Hana pasa a ser una sola transaccion llamada BP.</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Bp facilita la administracion de datos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reduce duplicidades y errores de sincronizacion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Al entrar a SAP en la barra de comandos ponemos SE15, O SE16N para entrar a la tabla.de todas las tablas, y desde ahi podemos palomear la informacion para filtrar. Despues vamos y damos clic en la palomita verde y esos parametros apareceran en la tabla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BP con rol supplier es para provedores y acreedores,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Beneficios del business partner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menos redundancia de datos, facilita la integracion entre modulos (Fl, MM, SD, etc), mayor eficiencia en la gestion de datos, proceso de creacion mas intuitivo que sap fiori, mejor capacidad de busqueda y mantenimiento de datos maestros.</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Como se ve S4HANA , nos vamos a SAP y  vemos BP en la interfaz, nos va a arrojar a la búsqueda, llenamoslos campos, en donde dice socio comercial metemos la cuenta, despues le damos a donde dice inicio y automaticamente lo arroja, despues le damos doble clic y nos da a inforamcion de la cuenta (esto es para S4HANA).</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En fiori es muy similar, en la barra de búsqueda ponemos BP, despues damos enter, llenamos los campos igual con el filtro y al final aparece, practicamente es lo mismo.  Despues vimos un video de como crear una transaccion F0K1.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