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A49D5" w14:textId="70425B13" w:rsidR="0035722A" w:rsidRDefault="004D263E" w:rsidP="0035722A">
      <w:pPr>
        <w:pStyle w:val="Heading2"/>
        <w:rPr>
          <w:lang w:val="en-GB"/>
        </w:rPr>
      </w:pPr>
      <w:r w:rsidRPr="004D263E">
        <w:rPr>
          <w:lang w:val="en-GB"/>
        </w:rPr>
        <w:t>Immersiveness</w:t>
      </w:r>
      <w:r>
        <w:rPr>
          <w:lang w:val="en-GB"/>
        </w:rPr>
        <w:t xml:space="preserve"> Indicators</w:t>
      </w:r>
    </w:p>
    <w:p w14:paraId="46E74F03" w14:textId="6F6261E5" w:rsidR="00782A53" w:rsidRDefault="000966B4" w:rsidP="00C13498">
      <w:pPr>
        <w:rPr>
          <w:lang w:val="en-GB"/>
        </w:rPr>
      </w:pPr>
      <w:r w:rsidRPr="00A94091">
        <w:rPr>
          <w:lang w:val="en-GB"/>
        </w:rPr>
        <w:t xml:space="preserve">    </w:t>
      </w:r>
      <w:r w:rsidR="00FA0E43">
        <w:rPr>
          <w:lang w:val="en-GB"/>
        </w:rPr>
        <w:t xml:space="preserve">To properly </w:t>
      </w:r>
      <w:r w:rsidR="00E60958">
        <w:rPr>
          <w:lang w:val="en-GB"/>
        </w:rPr>
        <w:t>evaluate the global experience of the game in both game</w:t>
      </w:r>
      <w:r w:rsidR="00E60958">
        <w:rPr>
          <w:lang w:val="en-GB"/>
        </w:rPr>
        <w:t>’</w:t>
      </w:r>
      <w:r w:rsidR="00E60958">
        <w:rPr>
          <w:lang w:val="en-GB"/>
        </w:rPr>
        <w:t>s post-tests, a choice was factors to consider relevant was required</w:t>
      </w:r>
      <w:r w:rsidR="00906D14">
        <w:rPr>
          <w:lang w:val="en-GB"/>
        </w:rPr>
        <w:t>.</w:t>
      </w:r>
      <w:r w:rsidR="00714A55">
        <w:rPr>
          <w:lang w:val="en-GB"/>
        </w:rPr>
        <w:t xml:space="preserve"> Giving the volunteers more freedom in reporting their relevant </w:t>
      </w:r>
      <w:r w:rsidR="00782A53">
        <w:rPr>
          <w:lang w:val="en-GB"/>
        </w:rPr>
        <w:t>factors was considered and would be valuable for a general evaluation. The PANAs scale was considered too, for a tallying of subjective mood. However, the need for a comparative evaluation dictates that the post-test surveys would have to be more targeted, more focused at a consistent set of elements between the two user groups, that covered more factors.\\</w:t>
      </w:r>
    </w:p>
    <w:p w14:paraId="2488BAAE" w14:textId="610D7C9E" w:rsidR="00782A53" w:rsidRDefault="00782A53" w:rsidP="00C13498">
      <w:pPr>
        <w:rPr>
          <w:lang w:val="en-GB"/>
        </w:rPr>
      </w:pPr>
      <w:r w:rsidRPr="00A94091">
        <w:rPr>
          <w:lang w:val="en-GB"/>
        </w:rPr>
        <w:t xml:space="preserve">    </w:t>
      </w:r>
      <w:r>
        <w:rPr>
          <w:lang w:val="en-GB"/>
        </w:rPr>
        <w:t>We</w:t>
      </w:r>
      <w:r>
        <w:rPr>
          <w:lang w:val="en-GB"/>
        </w:rPr>
        <w:t>’</w:t>
      </w:r>
      <w:r>
        <w:rPr>
          <w:lang w:val="en-GB"/>
        </w:rPr>
        <w:t>ve already looked at several aspects of the content, the game, with other questions in the post-test. A proper UX questionnaire ought to look into the other two elements of interaction: The Person, their experience, their anticipations, their characteristics, their relationships; and the Form, the technology by which the game is delivered, the extra content not part of the game</w:t>
      </w:r>
      <w:r>
        <w:rPr>
          <w:lang w:val="en-GB"/>
        </w:rPr>
        <w:t>’</w:t>
      </w:r>
      <w:r>
        <w:rPr>
          <w:lang w:val="en-GB"/>
        </w:rPr>
        <w:t>s primary progression. The latter is interesting mostly in aspects that may have affected the former</w:t>
      </w:r>
      <w:r w:rsidR="00C70E55">
        <w:rPr>
          <w:lang w:val="en-GB"/>
        </w:rPr>
        <w:t>, as people</w:t>
      </w:r>
      <w:r w:rsidR="00C70E55">
        <w:rPr>
          <w:lang w:val="en-GB"/>
        </w:rPr>
        <w:t>’</w:t>
      </w:r>
      <w:r w:rsidR="00C70E55">
        <w:rPr>
          <w:lang w:val="en-GB"/>
        </w:rPr>
        <w:t>s focus and attention is performed in a generally scattered yet not truly expectable manner. What some find amusing, distracting and correctly perceive, others may fail to because of form factors</w:t>
      </w:r>
      <w:r>
        <w:rPr>
          <w:lang w:val="en-GB"/>
        </w:rPr>
        <w:t>.</w:t>
      </w:r>
      <w:r w:rsidR="00BE10C9">
        <w:rPr>
          <w:lang w:val="en-GB"/>
        </w:rPr>
        <w:t>\\</w:t>
      </w:r>
    </w:p>
    <w:p w14:paraId="34DF1497" w14:textId="75DC8210" w:rsidR="00BE10C9" w:rsidRDefault="00BE10C9" w:rsidP="00C13498">
      <w:pPr>
        <w:rPr>
          <w:lang w:val="en-GB"/>
        </w:rPr>
      </w:pPr>
      <w:r>
        <w:rPr>
          <w:lang w:val="en-GB"/>
        </w:rPr>
        <w:t>The following were the indicators chosen</w:t>
      </w:r>
      <w:r w:rsidR="004749A4">
        <w:rPr>
          <w:lang w:val="en-GB"/>
        </w:rPr>
        <w:t xml:space="preserve">: Emotional Impact; Internal Expectations; </w:t>
      </w:r>
      <w:r w:rsidR="004749A4">
        <w:rPr>
          <w:lang w:val="en-GB"/>
        </w:rPr>
        <w:t>Self-Consciousness;</w:t>
      </w:r>
      <w:r w:rsidR="004749A4">
        <w:rPr>
          <w:lang w:val="en-GB"/>
        </w:rPr>
        <w:t xml:space="preserve"> External Expectations and Sharing; Recall and Recognition; </w:t>
      </w:r>
      <w:r w:rsidR="004749A4">
        <w:rPr>
          <w:lang w:val="en-GB"/>
        </w:rPr>
        <w:t>Enjoyment and Repeatability;</w:t>
      </w:r>
      <w:r w:rsidR="004749A4">
        <w:rPr>
          <w:lang w:val="en-GB"/>
        </w:rPr>
        <w:t xml:space="preserve"> </w:t>
      </w:r>
      <w:r w:rsidR="001619F7">
        <w:rPr>
          <w:lang w:val="en-GB"/>
        </w:rPr>
        <w:t>Subjective Sense of Comfort;</w:t>
      </w:r>
      <w:r w:rsidR="001619F7">
        <w:rPr>
          <w:lang w:val="en-GB"/>
        </w:rPr>
        <w:t xml:space="preserve"> </w:t>
      </w:r>
      <w:r w:rsidR="004749A4">
        <w:rPr>
          <w:lang w:val="en-GB"/>
        </w:rPr>
        <w:t>Technological and Methodological Impact; Symbolic Feedback and Sense Making. Some indicators were discovered in other works but didn</w:t>
      </w:r>
      <w:r w:rsidR="004749A4">
        <w:rPr>
          <w:lang w:val="en-GB"/>
        </w:rPr>
        <w:t>’</w:t>
      </w:r>
      <w:r w:rsidR="004749A4">
        <w:rPr>
          <w:lang w:val="en-GB"/>
        </w:rPr>
        <w:t>t feel like they fit well with the current work, such as Monetary Value, the willingness to pay money for similar experiences; or Reputation, which did not make sense given the fact the technology was almost entirely unknown to the participants prior.</w:t>
      </w:r>
      <w:r w:rsidR="002A35C3">
        <w:rPr>
          <w:lang w:val="en-GB"/>
        </w:rPr>
        <w:t xml:space="preserve"> T</w:t>
      </w:r>
      <w:r w:rsidR="00B87C07">
        <w:rPr>
          <w:lang w:val="en-GB"/>
        </w:rPr>
        <w:t>hese were asked to the volunteers through questionnaire, and the answers were</w:t>
      </w:r>
      <w:r w:rsidR="002A35C3">
        <w:rPr>
          <w:lang w:val="en-GB"/>
        </w:rPr>
        <w:t xml:space="preserve"> weighed</w:t>
      </w:r>
      <w:r w:rsidR="00B87C07">
        <w:rPr>
          <w:lang w:val="en-GB"/>
        </w:rPr>
        <w:t xml:space="preserve"> to a scale ranging from 0 to 50. Table (?) shows the scores of </w:t>
      </w:r>
      <w:proofErr w:type="gramStart"/>
      <w:r w:rsidR="00B87C07">
        <w:rPr>
          <w:lang w:val="en-GB"/>
        </w:rPr>
        <w:t>indicator</w:t>
      </w:r>
      <w:proofErr w:type="gramEnd"/>
      <w:r w:rsidR="00B87C07">
        <w:rPr>
          <w:lang w:val="en-GB"/>
        </w:rPr>
        <w:t xml:space="preserve"> for the Cultural and Non-Cultural Group.</w:t>
      </w:r>
    </w:p>
    <w:p w14:paraId="277692E7" w14:textId="0AEE81C3" w:rsidR="00B87C07" w:rsidRDefault="00B87C07" w:rsidP="00C13498">
      <w:pPr>
        <w:rPr>
          <w:lang w:val="en-GB"/>
        </w:rPr>
      </w:pPr>
    </w:p>
    <w:tbl>
      <w:tblPr>
        <w:tblStyle w:val="TableGrid"/>
        <w:tblW w:w="3632" w:type="dxa"/>
        <w:tblLook w:val="04A0" w:firstRow="1" w:lastRow="0" w:firstColumn="1" w:lastColumn="0" w:noHBand="0" w:noVBand="1"/>
      </w:tblPr>
      <w:tblGrid>
        <w:gridCol w:w="1620"/>
        <w:gridCol w:w="718"/>
        <w:gridCol w:w="222"/>
        <w:gridCol w:w="1072"/>
      </w:tblGrid>
      <w:tr w:rsidR="00B87C07" w14:paraId="2DE31E3C" w14:textId="77777777" w:rsidTr="00B87C07">
        <w:tc>
          <w:tcPr>
            <w:tcW w:w="1620" w:type="dxa"/>
          </w:tcPr>
          <w:p w14:paraId="0D41C80C" w14:textId="77777777" w:rsidR="00B87C07" w:rsidRDefault="00B87C07" w:rsidP="00B87C07">
            <w:pPr>
              <w:rPr>
                <w:lang w:val="en-GB"/>
              </w:rPr>
            </w:pPr>
          </w:p>
        </w:tc>
        <w:tc>
          <w:tcPr>
            <w:tcW w:w="718" w:type="dxa"/>
          </w:tcPr>
          <w:p w14:paraId="2FA4285C" w14:textId="649DD05C" w:rsidR="00B87C07" w:rsidRDefault="00B87C07" w:rsidP="00B87C07">
            <w:pPr>
              <w:rPr>
                <w:lang w:val="en-GB"/>
              </w:rPr>
            </w:pPr>
            <w:r w:rsidRPr="009C69E6">
              <w:t>score</w:t>
            </w:r>
          </w:p>
        </w:tc>
        <w:tc>
          <w:tcPr>
            <w:tcW w:w="222" w:type="dxa"/>
          </w:tcPr>
          <w:p w14:paraId="47AD2D82" w14:textId="77777777" w:rsidR="00B87C07" w:rsidRDefault="00B87C07" w:rsidP="00B87C07">
            <w:pPr>
              <w:rPr>
                <w:lang w:val="en-GB"/>
              </w:rPr>
            </w:pPr>
          </w:p>
        </w:tc>
        <w:tc>
          <w:tcPr>
            <w:tcW w:w="1072" w:type="dxa"/>
          </w:tcPr>
          <w:p w14:paraId="59B7B721" w14:textId="77777777" w:rsidR="00B87C07" w:rsidRDefault="00B87C07" w:rsidP="00B87C07">
            <w:pPr>
              <w:rPr>
                <w:lang w:val="en-GB"/>
              </w:rPr>
            </w:pPr>
          </w:p>
        </w:tc>
      </w:tr>
      <w:tr w:rsidR="00B87C07" w14:paraId="66E46B98" w14:textId="77777777" w:rsidTr="00B87C07">
        <w:tc>
          <w:tcPr>
            <w:tcW w:w="1620" w:type="dxa"/>
          </w:tcPr>
          <w:p w14:paraId="7D0BB876" w14:textId="154F40AD" w:rsidR="00B87C07" w:rsidRDefault="00B87C07" w:rsidP="00B87C07">
            <w:pPr>
              <w:rPr>
                <w:lang w:val="en-GB"/>
              </w:rPr>
            </w:pPr>
            <w:proofErr w:type="spellStart"/>
            <w:r w:rsidRPr="009C69E6">
              <w:t>Emotional</w:t>
            </w:r>
            <w:proofErr w:type="spellEnd"/>
            <w:r w:rsidRPr="009C69E6">
              <w:t xml:space="preserve"> </w:t>
            </w:r>
            <w:proofErr w:type="spellStart"/>
            <w:r w:rsidRPr="009C69E6">
              <w:t>Impact</w:t>
            </w:r>
            <w:proofErr w:type="spellEnd"/>
          </w:p>
        </w:tc>
        <w:tc>
          <w:tcPr>
            <w:tcW w:w="718" w:type="dxa"/>
          </w:tcPr>
          <w:p w14:paraId="45B090CF" w14:textId="1C70EBDD" w:rsidR="00B87C07" w:rsidRDefault="00B87C07" w:rsidP="00B87C07">
            <w:pPr>
              <w:rPr>
                <w:lang w:val="en-GB"/>
              </w:rPr>
            </w:pPr>
            <w:r w:rsidRPr="009C69E6">
              <w:t>43.75</w:t>
            </w:r>
          </w:p>
        </w:tc>
        <w:tc>
          <w:tcPr>
            <w:tcW w:w="222" w:type="dxa"/>
          </w:tcPr>
          <w:p w14:paraId="21B03E7A" w14:textId="77777777" w:rsidR="00B87C07" w:rsidRDefault="00B87C07" w:rsidP="00B87C07">
            <w:pPr>
              <w:rPr>
                <w:lang w:val="en-GB"/>
              </w:rPr>
            </w:pPr>
          </w:p>
        </w:tc>
        <w:tc>
          <w:tcPr>
            <w:tcW w:w="1072" w:type="dxa"/>
          </w:tcPr>
          <w:p w14:paraId="015989AB" w14:textId="33154DE9" w:rsidR="00B87C07" w:rsidRDefault="00B87C07" w:rsidP="00B87C07">
            <w:pPr>
              <w:rPr>
                <w:lang w:val="en-GB"/>
              </w:rPr>
            </w:pPr>
            <w:r w:rsidRPr="009C69E6">
              <w:t>Total</w:t>
            </w:r>
          </w:p>
        </w:tc>
      </w:tr>
      <w:tr w:rsidR="00B87C07" w14:paraId="0E9307C6" w14:textId="77777777" w:rsidTr="00B87C07">
        <w:tc>
          <w:tcPr>
            <w:tcW w:w="1620" w:type="dxa"/>
          </w:tcPr>
          <w:p w14:paraId="6400A31F" w14:textId="535AA834" w:rsidR="00B87C07" w:rsidRDefault="00B87C07" w:rsidP="00B87C07">
            <w:pPr>
              <w:rPr>
                <w:lang w:val="en-GB"/>
              </w:rPr>
            </w:pPr>
            <w:proofErr w:type="spellStart"/>
            <w:r w:rsidRPr="009C69E6">
              <w:t>Internal</w:t>
            </w:r>
            <w:proofErr w:type="spellEnd"/>
            <w:r w:rsidRPr="009C69E6">
              <w:t xml:space="preserve"> </w:t>
            </w:r>
            <w:proofErr w:type="spellStart"/>
            <w:r w:rsidRPr="009C69E6">
              <w:t>Expectations</w:t>
            </w:r>
            <w:proofErr w:type="spellEnd"/>
          </w:p>
        </w:tc>
        <w:tc>
          <w:tcPr>
            <w:tcW w:w="718" w:type="dxa"/>
          </w:tcPr>
          <w:p w14:paraId="077ED49A" w14:textId="57F3B472" w:rsidR="00B87C07" w:rsidRDefault="00B87C07" w:rsidP="00B87C07">
            <w:pPr>
              <w:rPr>
                <w:lang w:val="en-GB"/>
              </w:rPr>
            </w:pPr>
            <w:r w:rsidRPr="009C69E6">
              <w:t>37.50</w:t>
            </w:r>
          </w:p>
        </w:tc>
        <w:tc>
          <w:tcPr>
            <w:tcW w:w="222" w:type="dxa"/>
          </w:tcPr>
          <w:p w14:paraId="27AEC07C" w14:textId="77777777" w:rsidR="00B87C07" w:rsidRDefault="00B87C07" w:rsidP="00B87C07">
            <w:pPr>
              <w:rPr>
                <w:lang w:val="en-GB"/>
              </w:rPr>
            </w:pPr>
          </w:p>
        </w:tc>
        <w:tc>
          <w:tcPr>
            <w:tcW w:w="1072" w:type="dxa"/>
          </w:tcPr>
          <w:p w14:paraId="761B12C9" w14:textId="3B5E6649" w:rsidR="00B87C07" w:rsidRDefault="00B87C07" w:rsidP="00B87C07">
            <w:pPr>
              <w:rPr>
                <w:lang w:val="en-GB"/>
              </w:rPr>
            </w:pPr>
            <w:r w:rsidRPr="009C69E6">
              <w:t>382.60</w:t>
            </w:r>
          </w:p>
        </w:tc>
      </w:tr>
      <w:tr w:rsidR="00B87C07" w14:paraId="3CBA4E7A" w14:textId="77777777" w:rsidTr="00B87C07">
        <w:tc>
          <w:tcPr>
            <w:tcW w:w="1620" w:type="dxa"/>
          </w:tcPr>
          <w:p w14:paraId="399DEB28" w14:textId="2F86D570" w:rsidR="00B87C07" w:rsidRDefault="00B87C07" w:rsidP="00B87C07">
            <w:pPr>
              <w:rPr>
                <w:lang w:val="en-GB"/>
              </w:rPr>
            </w:pPr>
            <w:r w:rsidRPr="009C69E6">
              <w:t>Self-</w:t>
            </w:r>
            <w:proofErr w:type="spellStart"/>
            <w:r w:rsidRPr="009C69E6">
              <w:t>Consciousness</w:t>
            </w:r>
            <w:proofErr w:type="spellEnd"/>
          </w:p>
        </w:tc>
        <w:tc>
          <w:tcPr>
            <w:tcW w:w="718" w:type="dxa"/>
          </w:tcPr>
          <w:p w14:paraId="7A532828" w14:textId="62B6F823" w:rsidR="00B87C07" w:rsidRDefault="00B87C07" w:rsidP="00B87C07">
            <w:pPr>
              <w:rPr>
                <w:lang w:val="en-GB"/>
              </w:rPr>
            </w:pPr>
            <w:r w:rsidRPr="009C69E6">
              <w:t>47.92</w:t>
            </w:r>
          </w:p>
        </w:tc>
        <w:tc>
          <w:tcPr>
            <w:tcW w:w="222" w:type="dxa"/>
          </w:tcPr>
          <w:p w14:paraId="6338836F" w14:textId="77777777" w:rsidR="00B87C07" w:rsidRDefault="00B87C07" w:rsidP="00B87C07">
            <w:pPr>
              <w:rPr>
                <w:lang w:val="en-GB"/>
              </w:rPr>
            </w:pPr>
          </w:p>
        </w:tc>
        <w:tc>
          <w:tcPr>
            <w:tcW w:w="1072" w:type="dxa"/>
          </w:tcPr>
          <w:p w14:paraId="0A1731BD" w14:textId="77777777" w:rsidR="00B87C07" w:rsidRDefault="00B87C07" w:rsidP="00B87C07">
            <w:pPr>
              <w:rPr>
                <w:lang w:val="en-GB"/>
              </w:rPr>
            </w:pPr>
          </w:p>
        </w:tc>
      </w:tr>
      <w:tr w:rsidR="00B87C07" w14:paraId="1C4B1706" w14:textId="77777777" w:rsidTr="00B87C07">
        <w:tc>
          <w:tcPr>
            <w:tcW w:w="1620" w:type="dxa"/>
          </w:tcPr>
          <w:p w14:paraId="52617F5A" w14:textId="205A3760" w:rsidR="00B87C07" w:rsidRDefault="00B87C07" w:rsidP="00B87C07">
            <w:pPr>
              <w:rPr>
                <w:lang w:val="en-GB"/>
              </w:rPr>
            </w:pPr>
            <w:proofErr w:type="spellStart"/>
            <w:r w:rsidRPr="009C69E6">
              <w:t>External</w:t>
            </w:r>
            <w:proofErr w:type="spellEnd"/>
            <w:r w:rsidRPr="009C69E6">
              <w:t xml:space="preserve"> </w:t>
            </w:r>
            <w:proofErr w:type="spellStart"/>
            <w:r w:rsidRPr="009C69E6">
              <w:t>Expectations</w:t>
            </w:r>
            <w:proofErr w:type="spellEnd"/>
            <w:r w:rsidRPr="009C69E6">
              <w:t xml:space="preserve"> </w:t>
            </w:r>
            <w:proofErr w:type="spellStart"/>
            <w:r w:rsidRPr="009C69E6">
              <w:t>and</w:t>
            </w:r>
            <w:proofErr w:type="spellEnd"/>
            <w:r w:rsidRPr="009C69E6">
              <w:t xml:space="preserve"> </w:t>
            </w:r>
            <w:proofErr w:type="spellStart"/>
            <w:r w:rsidRPr="009C69E6">
              <w:t>Sharing</w:t>
            </w:r>
            <w:proofErr w:type="spellEnd"/>
          </w:p>
        </w:tc>
        <w:tc>
          <w:tcPr>
            <w:tcW w:w="718" w:type="dxa"/>
          </w:tcPr>
          <w:p w14:paraId="015F8228" w14:textId="400B1D7D" w:rsidR="00B87C07" w:rsidRDefault="00B87C07" w:rsidP="00B87C07">
            <w:pPr>
              <w:rPr>
                <w:lang w:val="en-GB"/>
              </w:rPr>
            </w:pPr>
            <w:r w:rsidRPr="009C69E6">
              <w:t>43.75</w:t>
            </w:r>
          </w:p>
        </w:tc>
        <w:tc>
          <w:tcPr>
            <w:tcW w:w="222" w:type="dxa"/>
          </w:tcPr>
          <w:p w14:paraId="4810DF92" w14:textId="77777777" w:rsidR="00B87C07" w:rsidRDefault="00B87C07" w:rsidP="00B87C07">
            <w:pPr>
              <w:rPr>
                <w:lang w:val="en-GB"/>
              </w:rPr>
            </w:pPr>
          </w:p>
        </w:tc>
        <w:tc>
          <w:tcPr>
            <w:tcW w:w="1072" w:type="dxa"/>
          </w:tcPr>
          <w:p w14:paraId="4A5DAFDE" w14:textId="0577266C" w:rsidR="00B87C07" w:rsidRDefault="00B87C07" w:rsidP="00B87C07">
            <w:pPr>
              <w:rPr>
                <w:lang w:val="en-GB"/>
              </w:rPr>
            </w:pPr>
            <w:proofErr w:type="spellStart"/>
            <w:r w:rsidRPr="009C69E6">
              <w:t>Mean</w:t>
            </w:r>
            <w:proofErr w:type="spellEnd"/>
          </w:p>
        </w:tc>
      </w:tr>
      <w:tr w:rsidR="00B87C07" w14:paraId="763D8EEE" w14:textId="77777777" w:rsidTr="00B87C07">
        <w:tc>
          <w:tcPr>
            <w:tcW w:w="1620" w:type="dxa"/>
          </w:tcPr>
          <w:p w14:paraId="07BF067E" w14:textId="4709A0D3" w:rsidR="00B87C07" w:rsidRDefault="00B87C07" w:rsidP="00B87C07">
            <w:pPr>
              <w:rPr>
                <w:lang w:val="en-GB"/>
              </w:rPr>
            </w:pPr>
            <w:proofErr w:type="spellStart"/>
            <w:r w:rsidRPr="009C69E6">
              <w:t>Recall</w:t>
            </w:r>
            <w:proofErr w:type="spellEnd"/>
            <w:r w:rsidRPr="009C69E6">
              <w:t xml:space="preserve"> </w:t>
            </w:r>
            <w:proofErr w:type="spellStart"/>
            <w:r w:rsidRPr="009C69E6">
              <w:t>and</w:t>
            </w:r>
            <w:proofErr w:type="spellEnd"/>
            <w:r w:rsidRPr="009C69E6">
              <w:t xml:space="preserve"> </w:t>
            </w:r>
            <w:proofErr w:type="spellStart"/>
            <w:r w:rsidRPr="009C69E6">
              <w:t>Recognition</w:t>
            </w:r>
            <w:proofErr w:type="spellEnd"/>
          </w:p>
        </w:tc>
        <w:tc>
          <w:tcPr>
            <w:tcW w:w="718" w:type="dxa"/>
          </w:tcPr>
          <w:p w14:paraId="4668C3EC" w14:textId="576BA334" w:rsidR="00B87C07" w:rsidRDefault="00B87C07" w:rsidP="00B87C07">
            <w:pPr>
              <w:rPr>
                <w:lang w:val="en-GB"/>
              </w:rPr>
            </w:pPr>
            <w:r w:rsidRPr="009C69E6">
              <w:t>43.75</w:t>
            </w:r>
          </w:p>
        </w:tc>
        <w:tc>
          <w:tcPr>
            <w:tcW w:w="222" w:type="dxa"/>
          </w:tcPr>
          <w:p w14:paraId="3C311EC2" w14:textId="77777777" w:rsidR="00B87C07" w:rsidRDefault="00B87C07" w:rsidP="00B87C07">
            <w:pPr>
              <w:rPr>
                <w:lang w:val="en-GB"/>
              </w:rPr>
            </w:pPr>
          </w:p>
        </w:tc>
        <w:tc>
          <w:tcPr>
            <w:tcW w:w="1072" w:type="dxa"/>
          </w:tcPr>
          <w:p w14:paraId="4375D324" w14:textId="5760F8F3" w:rsidR="00B87C07" w:rsidRDefault="00B87C07" w:rsidP="00B87C07">
            <w:pPr>
              <w:rPr>
                <w:lang w:val="en-GB"/>
              </w:rPr>
            </w:pPr>
            <w:r w:rsidRPr="009C69E6">
              <w:t>42.51</w:t>
            </w:r>
          </w:p>
        </w:tc>
      </w:tr>
      <w:tr w:rsidR="00B87C07" w14:paraId="50D9CAEA" w14:textId="77777777" w:rsidTr="00B87C07">
        <w:tc>
          <w:tcPr>
            <w:tcW w:w="1620" w:type="dxa"/>
          </w:tcPr>
          <w:p w14:paraId="32A12B4F" w14:textId="3E3B742B" w:rsidR="00B87C07" w:rsidRDefault="00B87C07" w:rsidP="00B87C07">
            <w:pPr>
              <w:rPr>
                <w:lang w:val="en-GB"/>
              </w:rPr>
            </w:pPr>
            <w:proofErr w:type="spellStart"/>
            <w:r w:rsidRPr="009C69E6">
              <w:t>Enjoyment</w:t>
            </w:r>
            <w:proofErr w:type="spellEnd"/>
            <w:r w:rsidRPr="009C69E6">
              <w:t xml:space="preserve"> </w:t>
            </w:r>
            <w:proofErr w:type="spellStart"/>
            <w:r w:rsidRPr="009C69E6">
              <w:t>and</w:t>
            </w:r>
            <w:proofErr w:type="spellEnd"/>
            <w:r w:rsidRPr="009C69E6">
              <w:t xml:space="preserve"> </w:t>
            </w:r>
            <w:proofErr w:type="spellStart"/>
            <w:r w:rsidRPr="009C69E6">
              <w:t>Repeatability</w:t>
            </w:r>
            <w:proofErr w:type="spellEnd"/>
          </w:p>
        </w:tc>
        <w:tc>
          <w:tcPr>
            <w:tcW w:w="718" w:type="dxa"/>
          </w:tcPr>
          <w:p w14:paraId="6C07506F" w14:textId="09E4730F" w:rsidR="00B87C07" w:rsidRDefault="00B87C07" w:rsidP="00B87C07">
            <w:pPr>
              <w:rPr>
                <w:lang w:val="en-GB"/>
              </w:rPr>
            </w:pPr>
            <w:r w:rsidRPr="009C69E6">
              <w:t>43.75</w:t>
            </w:r>
          </w:p>
        </w:tc>
        <w:tc>
          <w:tcPr>
            <w:tcW w:w="222" w:type="dxa"/>
          </w:tcPr>
          <w:p w14:paraId="6FA5B140" w14:textId="77777777" w:rsidR="00B87C07" w:rsidRDefault="00B87C07" w:rsidP="00B87C07">
            <w:pPr>
              <w:rPr>
                <w:lang w:val="en-GB"/>
              </w:rPr>
            </w:pPr>
          </w:p>
        </w:tc>
        <w:tc>
          <w:tcPr>
            <w:tcW w:w="1072" w:type="dxa"/>
          </w:tcPr>
          <w:p w14:paraId="428DD910" w14:textId="77777777" w:rsidR="00B87C07" w:rsidRDefault="00B87C07" w:rsidP="00B87C07">
            <w:pPr>
              <w:rPr>
                <w:lang w:val="en-GB"/>
              </w:rPr>
            </w:pPr>
          </w:p>
        </w:tc>
      </w:tr>
      <w:tr w:rsidR="00B87C07" w14:paraId="439CD4BC" w14:textId="77777777" w:rsidTr="00B87C07">
        <w:tc>
          <w:tcPr>
            <w:tcW w:w="1620" w:type="dxa"/>
          </w:tcPr>
          <w:p w14:paraId="5149173C" w14:textId="1C1ECD55" w:rsidR="00B87C07" w:rsidRDefault="00B87C07" w:rsidP="00B87C07">
            <w:pPr>
              <w:rPr>
                <w:lang w:val="en-GB"/>
              </w:rPr>
            </w:pPr>
            <w:proofErr w:type="spellStart"/>
            <w:r w:rsidRPr="009C69E6">
              <w:t>Subjective</w:t>
            </w:r>
            <w:proofErr w:type="spellEnd"/>
            <w:r w:rsidRPr="009C69E6">
              <w:t xml:space="preserve"> </w:t>
            </w:r>
            <w:proofErr w:type="spellStart"/>
            <w:r w:rsidRPr="009C69E6">
              <w:t>Sense</w:t>
            </w:r>
            <w:proofErr w:type="spellEnd"/>
            <w:r w:rsidRPr="009C69E6">
              <w:t xml:space="preserve"> </w:t>
            </w:r>
            <w:proofErr w:type="spellStart"/>
            <w:r w:rsidRPr="009C69E6">
              <w:t>of</w:t>
            </w:r>
            <w:proofErr w:type="spellEnd"/>
            <w:r w:rsidRPr="009C69E6">
              <w:t xml:space="preserve"> Comfort</w:t>
            </w:r>
          </w:p>
        </w:tc>
        <w:tc>
          <w:tcPr>
            <w:tcW w:w="718" w:type="dxa"/>
          </w:tcPr>
          <w:p w14:paraId="7C0D3841" w14:textId="64B80946" w:rsidR="00B87C07" w:rsidRDefault="00B87C07" w:rsidP="00B87C07">
            <w:pPr>
              <w:rPr>
                <w:lang w:val="en-GB"/>
              </w:rPr>
            </w:pPr>
            <w:r w:rsidRPr="009C69E6">
              <w:t>43.75</w:t>
            </w:r>
          </w:p>
        </w:tc>
        <w:tc>
          <w:tcPr>
            <w:tcW w:w="222" w:type="dxa"/>
          </w:tcPr>
          <w:p w14:paraId="2233FF30" w14:textId="77777777" w:rsidR="00B87C07" w:rsidRDefault="00B87C07" w:rsidP="00B87C07">
            <w:pPr>
              <w:rPr>
                <w:lang w:val="en-GB"/>
              </w:rPr>
            </w:pPr>
          </w:p>
        </w:tc>
        <w:tc>
          <w:tcPr>
            <w:tcW w:w="1072" w:type="dxa"/>
          </w:tcPr>
          <w:p w14:paraId="3FD1ABBB" w14:textId="0348A2A4" w:rsidR="00B87C07" w:rsidRDefault="00B87C07" w:rsidP="00B87C07">
            <w:pPr>
              <w:rPr>
                <w:lang w:val="en-GB"/>
              </w:rPr>
            </w:pPr>
            <w:proofErr w:type="spellStart"/>
            <w:r w:rsidRPr="009C69E6">
              <w:t>Std</w:t>
            </w:r>
            <w:proofErr w:type="spellEnd"/>
            <w:r w:rsidRPr="009C69E6">
              <w:t xml:space="preserve">  </w:t>
            </w:r>
            <w:proofErr w:type="spellStart"/>
            <w:r w:rsidRPr="009C69E6">
              <w:t>Deviation</w:t>
            </w:r>
            <w:proofErr w:type="spellEnd"/>
          </w:p>
        </w:tc>
      </w:tr>
      <w:tr w:rsidR="00B87C07" w14:paraId="6E8C5943" w14:textId="77777777" w:rsidTr="00B87C07">
        <w:tc>
          <w:tcPr>
            <w:tcW w:w="1620" w:type="dxa"/>
          </w:tcPr>
          <w:p w14:paraId="5E61C39F" w14:textId="149429C0" w:rsidR="00B87C07" w:rsidRDefault="00B87C07" w:rsidP="00B87C07">
            <w:pPr>
              <w:rPr>
                <w:lang w:val="en-GB"/>
              </w:rPr>
            </w:pPr>
            <w:proofErr w:type="spellStart"/>
            <w:r w:rsidRPr="009C69E6">
              <w:t>Technological</w:t>
            </w:r>
            <w:proofErr w:type="spellEnd"/>
            <w:r w:rsidRPr="009C69E6">
              <w:t xml:space="preserve"> </w:t>
            </w:r>
            <w:proofErr w:type="spellStart"/>
            <w:r w:rsidRPr="009C69E6">
              <w:t>and</w:t>
            </w:r>
            <w:proofErr w:type="spellEnd"/>
            <w:r w:rsidRPr="009C69E6">
              <w:t xml:space="preserve"> </w:t>
            </w:r>
            <w:proofErr w:type="spellStart"/>
            <w:r w:rsidRPr="009C69E6">
              <w:t>Methodological</w:t>
            </w:r>
            <w:proofErr w:type="spellEnd"/>
            <w:r w:rsidRPr="009C69E6">
              <w:t xml:space="preserve"> </w:t>
            </w:r>
            <w:proofErr w:type="spellStart"/>
            <w:r w:rsidRPr="009C69E6">
              <w:t>Impact</w:t>
            </w:r>
            <w:proofErr w:type="spellEnd"/>
          </w:p>
        </w:tc>
        <w:tc>
          <w:tcPr>
            <w:tcW w:w="718" w:type="dxa"/>
          </w:tcPr>
          <w:p w14:paraId="679A9A41" w14:textId="131258C3" w:rsidR="00B87C07" w:rsidRDefault="00B87C07" w:rsidP="00B87C07">
            <w:pPr>
              <w:rPr>
                <w:lang w:val="en-GB"/>
              </w:rPr>
            </w:pPr>
            <w:r w:rsidRPr="009C69E6">
              <w:t>40.63</w:t>
            </w:r>
          </w:p>
        </w:tc>
        <w:tc>
          <w:tcPr>
            <w:tcW w:w="222" w:type="dxa"/>
          </w:tcPr>
          <w:p w14:paraId="311C943E" w14:textId="77777777" w:rsidR="00B87C07" w:rsidRDefault="00B87C07" w:rsidP="00B87C07">
            <w:pPr>
              <w:rPr>
                <w:lang w:val="en-GB"/>
              </w:rPr>
            </w:pPr>
          </w:p>
        </w:tc>
        <w:tc>
          <w:tcPr>
            <w:tcW w:w="1072" w:type="dxa"/>
          </w:tcPr>
          <w:p w14:paraId="306FE631" w14:textId="41E3E930" w:rsidR="00B87C07" w:rsidRDefault="00B87C07" w:rsidP="00B87C07">
            <w:pPr>
              <w:rPr>
                <w:lang w:val="en-GB"/>
              </w:rPr>
            </w:pPr>
            <w:r w:rsidRPr="009C69E6">
              <w:t>3.31</w:t>
            </w:r>
          </w:p>
        </w:tc>
      </w:tr>
      <w:tr w:rsidR="00B87C07" w14:paraId="612DD4B3" w14:textId="77777777" w:rsidTr="00B87C07">
        <w:tc>
          <w:tcPr>
            <w:tcW w:w="1620" w:type="dxa"/>
          </w:tcPr>
          <w:p w14:paraId="79223077" w14:textId="5F75A0B1" w:rsidR="00B87C07" w:rsidRDefault="00B87C07" w:rsidP="00B87C07">
            <w:pPr>
              <w:rPr>
                <w:lang w:val="en-GB"/>
              </w:rPr>
            </w:pPr>
            <w:proofErr w:type="spellStart"/>
            <w:r w:rsidRPr="009C69E6">
              <w:lastRenderedPageBreak/>
              <w:t>Symbolic</w:t>
            </w:r>
            <w:proofErr w:type="spellEnd"/>
            <w:r w:rsidRPr="009C69E6">
              <w:t xml:space="preserve"> Feedback </w:t>
            </w:r>
            <w:proofErr w:type="spellStart"/>
            <w:r w:rsidRPr="009C69E6">
              <w:t>and</w:t>
            </w:r>
            <w:proofErr w:type="spellEnd"/>
            <w:r w:rsidRPr="009C69E6">
              <w:t xml:space="preserve"> </w:t>
            </w:r>
            <w:proofErr w:type="spellStart"/>
            <w:r w:rsidRPr="009C69E6">
              <w:t>Sense</w:t>
            </w:r>
            <w:proofErr w:type="spellEnd"/>
            <w:r w:rsidRPr="009C69E6">
              <w:t xml:space="preserve"> </w:t>
            </w:r>
            <w:proofErr w:type="spellStart"/>
            <w:r w:rsidRPr="009C69E6">
              <w:t>Making</w:t>
            </w:r>
            <w:proofErr w:type="spellEnd"/>
          </w:p>
        </w:tc>
        <w:tc>
          <w:tcPr>
            <w:tcW w:w="718" w:type="dxa"/>
          </w:tcPr>
          <w:p w14:paraId="2FAA33FA" w14:textId="3EA2805D" w:rsidR="00B87C07" w:rsidRDefault="00B87C07" w:rsidP="00B87C07">
            <w:pPr>
              <w:rPr>
                <w:lang w:val="en-GB"/>
              </w:rPr>
            </w:pPr>
            <w:r w:rsidRPr="009C69E6">
              <w:t>37.81</w:t>
            </w:r>
          </w:p>
        </w:tc>
        <w:tc>
          <w:tcPr>
            <w:tcW w:w="222" w:type="dxa"/>
          </w:tcPr>
          <w:p w14:paraId="2F98C348" w14:textId="77777777" w:rsidR="00B87C07" w:rsidRDefault="00B87C07" w:rsidP="00B87C07">
            <w:pPr>
              <w:rPr>
                <w:lang w:val="en-GB"/>
              </w:rPr>
            </w:pPr>
          </w:p>
        </w:tc>
        <w:tc>
          <w:tcPr>
            <w:tcW w:w="1072" w:type="dxa"/>
          </w:tcPr>
          <w:p w14:paraId="1288633F" w14:textId="77777777" w:rsidR="00B87C07" w:rsidRDefault="00B87C07" w:rsidP="00B87C07">
            <w:pPr>
              <w:rPr>
                <w:lang w:val="en-GB"/>
              </w:rPr>
            </w:pPr>
          </w:p>
        </w:tc>
      </w:tr>
      <w:tr w:rsidR="00B87C07" w14:paraId="55ABA42E" w14:textId="77777777" w:rsidTr="00B87C07">
        <w:tc>
          <w:tcPr>
            <w:tcW w:w="1620" w:type="dxa"/>
          </w:tcPr>
          <w:p w14:paraId="4AE7CDCC" w14:textId="77777777" w:rsidR="00B87C07" w:rsidRDefault="00B87C07" w:rsidP="00B87C07">
            <w:pPr>
              <w:rPr>
                <w:lang w:val="en-GB"/>
              </w:rPr>
            </w:pPr>
          </w:p>
        </w:tc>
        <w:tc>
          <w:tcPr>
            <w:tcW w:w="718" w:type="dxa"/>
          </w:tcPr>
          <w:p w14:paraId="39CEEE8A" w14:textId="77777777" w:rsidR="00B87C07" w:rsidRDefault="00B87C07" w:rsidP="00B87C07">
            <w:pPr>
              <w:rPr>
                <w:lang w:val="en-GB"/>
              </w:rPr>
            </w:pPr>
          </w:p>
        </w:tc>
        <w:tc>
          <w:tcPr>
            <w:tcW w:w="222" w:type="dxa"/>
          </w:tcPr>
          <w:p w14:paraId="52A1FF65" w14:textId="77777777" w:rsidR="00B87C07" w:rsidRDefault="00B87C07" w:rsidP="00B87C07">
            <w:pPr>
              <w:rPr>
                <w:lang w:val="en-GB"/>
              </w:rPr>
            </w:pPr>
          </w:p>
        </w:tc>
        <w:tc>
          <w:tcPr>
            <w:tcW w:w="1072" w:type="dxa"/>
          </w:tcPr>
          <w:p w14:paraId="2BCFA8AC" w14:textId="77777777" w:rsidR="00B87C07" w:rsidRDefault="00B87C07" w:rsidP="00B87C07">
            <w:pPr>
              <w:rPr>
                <w:lang w:val="en-GB"/>
              </w:rPr>
            </w:pPr>
          </w:p>
        </w:tc>
      </w:tr>
      <w:tr w:rsidR="00B87C07" w14:paraId="7B649BC3" w14:textId="77777777" w:rsidTr="00B87C07">
        <w:tc>
          <w:tcPr>
            <w:tcW w:w="1620" w:type="dxa"/>
          </w:tcPr>
          <w:p w14:paraId="24A25F88" w14:textId="77777777" w:rsidR="00B87C07" w:rsidRDefault="00B87C07" w:rsidP="00B87C07">
            <w:pPr>
              <w:rPr>
                <w:lang w:val="en-GB"/>
              </w:rPr>
            </w:pPr>
          </w:p>
        </w:tc>
        <w:tc>
          <w:tcPr>
            <w:tcW w:w="718" w:type="dxa"/>
          </w:tcPr>
          <w:p w14:paraId="0437A7EC" w14:textId="7B23565C" w:rsidR="00B87C07" w:rsidRDefault="00B87C07" w:rsidP="00B87C07">
            <w:pPr>
              <w:rPr>
                <w:lang w:val="en-GB"/>
              </w:rPr>
            </w:pPr>
            <w:r w:rsidRPr="009C69E6">
              <w:t>score</w:t>
            </w:r>
          </w:p>
        </w:tc>
        <w:tc>
          <w:tcPr>
            <w:tcW w:w="222" w:type="dxa"/>
          </w:tcPr>
          <w:p w14:paraId="6631AF18" w14:textId="77777777" w:rsidR="00B87C07" w:rsidRDefault="00B87C07" w:rsidP="00B87C07">
            <w:pPr>
              <w:rPr>
                <w:lang w:val="en-GB"/>
              </w:rPr>
            </w:pPr>
          </w:p>
        </w:tc>
        <w:tc>
          <w:tcPr>
            <w:tcW w:w="1072" w:type="dxa"/>
          </w:tcPr>
          <w:p w14:paraId="1B172BEC" w14:textId="77777777" w:rsidR="00B87C07" w:rsidRDefault="00B87C07" w:rsidP="00B87C07">
            <w:pPr>
              <w:rPr>
                <w:lang w:val="en-GB"/>
              </w:rPr>
            </w:pPr>
          </w:p>
        </w:tc>
      </w:tr>
      <w:tr w:rsidR="00B87C07" w14:paraId="32B65EB9" w14:textId="77777777" w:rsidTr="00B87C07">
        <w:tc>
          <w:tcPr>
            <w:tcW w:w="1620" w:type="dxa"/>
          </w:tcPr>
          <w:p w14:paraId="596A9760" w14:textId="15B4FAD0" w:rsidR="00B87C07" w:rsidRDefault="00B87C07" w:rsidP="00B87C07">
            <w:pPr>
              <w:rPr>
                <w:lang w:val="en-GB"/>
              </w:rPr>
            </w:pPr>
            <w:proofErr w:type="spellStart"/>
            <w:r w:rsidRPr="009C69E6">
              <w:t>Emotional</w:t>
            </w:r>
            <w:proofErr w:type="spellEnd"/>
            <w:r w:rsidRPr="009C69E6">
              <w:t xml:space="preserve"> </w:t>
            </w:r>
            <w:proofErr w:type="spellStart"/>
            <w:r w:rsidRPr="009C69E6">
              <w:t>Impact</w:t>
            </w:r>
            <w:proofErr w:type="spellEnd"/>
          </w:p>
        </w:tc>
        <w:tc>
          <w:tcPr>
            <w:tcW w:w="718" w:type="dxa"/>
          </w:tcPr>
          <w:p w14:paraId="693E2353" w14:textId="5B06CCE9" w:rsidR="00B87C07" w:rsidRDefault="00B87C07" w:rsidP="00B87C07">
            <w:pPr>
              <w:rPr>
                <w:lang w:val="en-GB"/>
              </w:rPr>
            </w:pPr>
            <w:r w:rsidRPr="009C69E6">
              <w:t>50.00</w:t>
            </w:r>
          </w:p>
        </w:tc>
        <w:tc>
          <w:tcPr>
            <w:tcW w:w="222" w:type="dxa"/>
          </w:tcPr>
          <w:p w14:paraId="0FDE251C" w14:textId="77777777" w:rsidR="00B87C07" w:rsidRDefault="00B87C07" w:rsidP="00B87C07">
            <w:pPr>
              <w:rPr>
                <w:lang w:val="en-GB"/>
              </w:rPr>
            </w:pPr>
          </w:p>
        </w:tc>
        <w:tc>
          <w:tcPr>
            <w:tcW w:w="1072" w:type="dxa"/>
          </w:tcPr>
          <w:p w14:paraId="5842639C" w14:textId="2EEFEE32" w:rsidR="00B87C07" w:rsidRDefault="00B87C07" w:rsidP="00B87C07">
            <w:pPr>
              <w:rPr>
                <w:lang w:val="en-GB"/>
              </w:rPr>
            </w:pPr>
            <w:r w:rsidRPr="009C69E6">
              <w:t>Total</w:t>
            </w:r>
          </w:p>
        </w:tc>
      </w:tr>
      <w:tr w:rsidR="00B87C07" w14:paraId="27400AD3" w14:textId="77777777" w:rsidTr="00B87C07">
        <w:tc>
          <w:tcPr>
            <w:tcW w:w="1620" w:type="dxa"/>
          </w:tcPr>
          <w:p w14:paraId="30F4C3D0" w14:textId="4591CF0D" w:rsidR="00B87C07" w:rsidRDefault="00B87C07" w:rsidP="00B87C07">
            <w:pPr>
              <w:rPr>
                <w:lang w:val="en-GB"/>
              </w:rPr>
            </w:pPr>
            <w:proofErr w:type="spellStart"/>
            <w:r w:rsidRPr="009C69E6">
              <w:t>Internal</w:t>
            </w:r>
            <w:proofErr w:type="spellEnd"/>
            <w:r w:rsidRPr="009C69E6">
              <w:t xml:space="preserve"> </w:t>
            </w:r>
            <w:proofErr w:type="spellStart"/>
            <w:r w:rsidRPr="009C69E6">
              <w:t>Expectations</w:t>
            </w:r>
            <w:proofErr w:type="spellEnd"/>
          </w:p>
        </w:tc>
        <w:tc>
          <w:tcPr>
            <w:tcW w:w="718" w:type="dxa"/>
          </w:tcPr>
          <w:p w14:paraId="3908D79B" w14:textId="05C10C3A" w:rsidR="00B87C07" w:rsidRDefault="00B87C07" w:rsidP="00B87C07">
            <w:pPr>
              <w:rPr>
                <w:lang w:val="en-GB"/>
              </w:rPr>
            </w:pPr>
            <w:r w:rsidRPr="009C69E6">
              <w:t>28.13</w:t>
            </w:r>
          </w:p>
        </w:tc>
        <w:tc>
          <w:tcPr>
            <w:tcW w:w="222" w:type="dxa"/>
          </w:tcPr>
          <w:p w14:paraId="2344355E" w14:textId="77777777" w:rsidR="00B87C07" w:rsidRDefault="00B87C07" w:rsidP="00B87C07">
            <w:pPr>
              <w:rPr>
                <w:lang w:val="en-GB"/>
              </w:rPr>
            </w:pPr>
          </w:p>
        </w:tc>
        <w:tc>
          <w:tcPr>
            <w:tcW w:w="1072" w:type="dxa"/>
          </w:tcPr>
          <w:p w14:paraId="0AC02BBF" w14:textId="59FED321" w:rsidR="00B87C07" w:rsidRDefault="00B87C07" w:rsidP="00B87C07">
            <w:pPr>
              <w:rPr>
                <w:lang w:val="en-GB"/>
              </w:rPr>
            </w:pPr>
            <w:r w:rsidRPr="009C69E6">
              <w:t>342.59</w:t>
            </w:r>
          </w:p>
        </w:tc>
      </w:tr>
      <w:tr w:rsidR="00B87C07" w14:paraId="7A230A16" w14:textId="77777777" w:rsidTr="00B87C07">
        <w:tc>
          <w:tcPr>
            <w:tcW w:w="1620" w:type="dxa"/>
          </w:tcPr>
          <w:p w14:paraId="4346CCA1" w14:textId="1FF66C76" w:rsidR="00B87C07" w:rsidRDefault="00B87C07" w:rsidP="00B87C07">
            <w:pPr>
              <w:rPr>
                <w:lang w:val="en-GB"/>
              </w:rPr>
            </w:pPr>
            <w:r w:rsidRPr="009C69E6">
              <w:t>Self-</w:t>
            </w:r>
            <w:proofErr w:type="spellStart"/>
            <w:r w:rsidRPr="009C69E6">
              <w:t>Consciousness</w:t>
            </w:r>
            <w:proofErr w:type="spellEnd"/>
          </w:p>
        </w:tc>
        <w:tc>
          <w:tcPr>
            <w:tcW w:w="718" w:type="dxa"/>
          </w:tcPr>
          <w:p w14:paraId="0E251761" w14:textId="4BABABAE" w:rsidR="00B87C07" w:rsidRDefault="00B87C07" w:rsidP="00B87C07">
            <w:pPr>
              <w:rPr>
                <w:lang w:val="en-GB"/>
              </w:rPr>
            </w:pPr>
            <w:r w:rsidRPr="009C69E6">
              <w:t>45.83</w:t>
            </w:r>
          </w:p>
        </w:tc>
        <w:tc>
          <w:tcPr>
            <w:tcW w:w="222" w:type="dxa"/>
          </w:tcPr>
          <w:p w14:paraId="3FFEA461" w14:textId="77777777" w:rsidR="00B87C07" w:rsidRDefault="00B87C07" w:rsidP="00B87C07">
            <w:pPr>
              <w:rPr>
                <w:lang w:val="en-GB"/>
              </w:rPr>
            </w:pPr>
          </w:p>
        </w:tc>
        <w:tc>
          <w:tcPr>
            <w:tcW w:w="1072" w:type="dxa"/>
          </w:tcPr>
          <w:p w14:paraId="26F4E34C" w14:textId="77777777" w:rsidR="00B87C07" w:rsidRDefault="00B87C07" w:rsidP="00B87C07">
            <w:pPr>
              <w:rPr>
                <w:lang w:val="en-GB"/>
              </w:rPr>
            </w:pPr>
          </w:p>
        </w:tc>
      </w:tr>
      <w:tr w:rsidR="00B87C07" w14:paraId="759659A8" w14:textId="77777777" w:rsidTr="00B87C07">
        <w:tc>
          <w:tcPr>
            <w:tcW w:w="1620" w:type="dxa"/>
          </w:tcPr>
          <w:p w14:paraId="1F6DABB9" w14:textId="13E610A0" w:rsidR="00B87C07" w:rsidRDefault="00B87C07" w:rsidP="00B87C07">
            <w:pPr>
              <w:rPr>
                <w:lang w:val="en-GB"/>
              </w:rPr>
            </w:pPr>
            <w:proofErr w:type="spellStart"/>
            <w:r w:rsidRPr="009C69E6">
              <w:t>External</w:t>
            </w:r>
            <w:proofErr w:type="spellEnd"/>
            <w:r w:rsidRPr="009C69E6">
              <w:t xml:space="preserve"> </w:t>
            </w:r>
            <w:proofErr w:type="spellStart"/>
            <w:r w:rsidRPr="009C69E6">
              <w:t>Expectations</w:t>
            </w:r>
            <w:proofErr w:type="spellEnd"/>
            <w:r w:rsidRPr="009C69E6">
              <w:t xml:space="preserve"> </w:t>
            </w:r>
            <w:proofErr w:type="spellStart"/>
            <w:r w:rsidRPr="009C69E6">
              <w:t>and</w:t>
            </w:r>
            <w:proofErr w:type="spellEnd"/>
            <w:r w:rsidRPr="009C69E6">
              <w:t xml:space="preserve"> </w:t>
            </w:r>
            <w:proofErr w:type="spellStart"/>
            <w:r w:rsidRPr="009C69E6">
              <w:t>Sharing</w:t>
            </w:r>
            <w:proofErr w:type="spellEnd"/>
          </w:p>
        </w:tc>
        <w:tc>
          <w:tcPr>
            <w:tcW w:w="718" w:type="dxa"/>
          </w:tcPr>
          <w:p w14:paraId="4D61A8C1" w14:textId="7C187881" w:rsidR="00B87C07" w:rsidRDefault="00B87C07" w:rsidP="00B87C07">
            <w:pPr>
              <w:rPr>
                <w:lang w:val="en-GB"/>
              </w:rPr>
            </w:pPr>
            <w:r w:rsidRPr="009C69E6">
              <w:t>43.75</w:t>
            </w:r>
          </w:p>
        </w:tc>
        <w:tc>
          <w:tcPr>
            <w:tcW w:w="222" w:type="dxa"/>
          </w:tcPr>
          <w:p w14:paraId="3693D812" w14:textId="77777777" w:rsidR="00B87C07" w:rsidRDefault="00B87C07" w:rsidP="00B87C07">
            <w:pPr>
              <w:rPr>
                <w:lang w:val="en-GB"/>
              </w:rPr>
            </w:pPr>
          </w:p>
        </w:tc>
        <w:tc>
          <w:tcPr>
            <w:tcW w:w="1072" w:type="dxa"/>
          </w:tcPr>
          <w:p w14:paraId="60D4E9DA" w14:textId="51D3D769" w:rsidR="00B87C07" w:rsidRDefault="00B87C07" w:rsidP="00B87C07">
            <w:pPr>
              <w:rPr>
                <w:lang w:val="en-GB"/>
              </w:rPr>
            </w:pPr>
            <w:proofErr w:type="spellStart"/>
            <w:r w:rsidRPr="009C69E6">
              <w:t>Mean</w:t>
            </w:r>
            <w:proofErr w:type="spellEnd"/>
          </w:p>
        </w:tc>
      </w:tr>
      <w:tr w:rsidR="00B87C07" w14:paraId="21D5239A" w14:textId="77777777" w:rsidTr="00B87C07">
        <w:tc>
          <w:tcPr>
            <w:tcW w:w="1620" w:type="dxa"/>
          </w:tcPr>
          <w:p w14:paraId="12DE64D5" w14:textId="46FBBC5F" w:rsidR="00B87C07" w:rsidRDefault="00B87C07" w:rsidP="00B87C07">
            <w:pPr>
              <w:rPr>
                <w:lang w:val="en-GB"/>
              </w:rPr>
            </w:pPr>
            <w:proofErr w:type="spellStart"/>
            <w:r w:rsidRPr="009C69E6">
              <w:t>Recall</w:t>
            </w:r>
            <w:proofErr w:type="spellEnd"/>
            <w:r w:rsidRPr="009C69E6">
              <w:t xml:space="preserve"> </w:t>
            </w:r>
            <w:proofErr w:type="spellStart"/>
            <w:r w:rsidRPr="009C69E6">
              <w:t>and</w:t>
            </w:r>
            <w:proofErr w:type="spellEnd"/>
            <w:r w:rsidRPr="009C69E6">
              <w:t xml:space="preserve"> </w:t>
            </w:r>
            <w:proofErr w:type="spellStart"/>
            <w:r w:rsidRPr="009C69E6">
              <w:t>Recognition</w:t>
            </w:r>
            <w:proofErr w:type="spellEnd"/>
          </w:p>
        </w:tc>
        <w:tc>
          <w:tcPr>
            <w:tcW w:w="718" w:type="dxa"/>
          </w:tcPr>
          <w:p w14:paraId="78CF0369" w14:textId="42767190" w:rsidR="00B87C07" w:rsidRDefault="00B87C07" w:rsidP="00B87C07">
            <w:pPr>
              <w:rPr>
                <w:lang w:val="en-GB"/>
              </w:rPr>
            </w:pPr>
            <w:r w:rsidRPr="009C69E6">
              <w:t>24.31</w:t>
            </w:r>
          </w:p>
        </w:tc>
        <w:tc>
          <w:tcPr>
            <w:tcW w:w="222" w:type="dxa"/>
          </w:tcPr>
          <w:p w14:paraId="38C2D0A6" w14:textId="77777777" w:rsidR="00B87C07" w:rsidRDefault="00B87C07" w:rsidP="00B87C07">
            <w:pPr>
              <w:rPr>
                <w:lang w:val="en-GB"/>
              </w:rPr>
            </w:pPr>
          </w:p>
        </w:tc>
        <w:tc>
          <w:tcPr>
            <w:tcW w:w="1072" w:type="dxa"/>
          </w:tcPr>
          <w:p w14:paraId="24CB53BD" w14:textId="54EF6E1D" w:rsidR="00B87C07" w:rsidRDefault="00B87C07" w:rsidP="00B87C07">
            <w:pPr>
              <w:rPr>
                <w:lang w:val="en-GB"/>
              </w:rPr>
            </w:pPr>
            <w:r w:rsidRPr="009C69E6">
              <w:t>38.07</w:t>
            </w:r>
          </w:p>
        </w:tc>
      </w:tr>
      <w:tr w:rsidR="00B87C07" w14:paraId="21C8530F" w14:textId="77777777" w:rsidTr="00B87C07">
        <w:tc>
          <w:tcPr>
            <w:tcW w:w="1620" w:type="dxa"/>
          </w:tcPr>
          <w:p w14:paraId="5344E00D" w14:textId="00602F59" w:rsidR="00B87C07" w:rsidRDefault="00B87C07" w:rsidP="00B87C07">
            <w:pPr>
              <w:rPr>
                <w:lang w:val="en-GB"/>
              </w:rPr>
            </w:pPr>
            <w:proofErr w:type="spellStart"/>
            <w:r w:rsidRPr="009C69E6">
              <w:t>Enjoyment</w:t>
            </w:r>
            <w:proofErr w:type="spellEnd"/>
            <w:r w:rsidRPr="009C69E6">
              <w:t xml:space="preserve"> </w:t>
            </w:r>
            <w:proofErr w:type="spellStart"/>
            <w:r w:rsidRPr="009C69E6">
              <w:t>and</w:t>
            </w:r>
            <w:proofErr w:type="spellEnd"/>
            <w:r w:rsidRPr="009C69E6">
              <w:t xml:space="preserve"> </w:t>
            </w:r>
            <w:proofErr w:type="spellStart"/>
            <w:r w:rsidRPr="009C69E6">
              <w:t>Repeatability</w:t>
            </w:r>
            <w:proofErr w:type="spellEnd"/>
          </w:p>
        </w:tc>
        <w:tc>
          <w:tcPr>
            <w:tcW w:w="718" w:type="dxa"/>
          </w:tcPr>
          <w:p w14:paraId="1454261F" w14:textId="05051086" w:rsidR="00B87C07" w:rsidRDefault="00B87C07" w:rsidP="00B87C07">
            <w:pPr>
              <w:rPr>
                <w:lang w:val="en-GB"/>
              </w:rPr>
            </w:pPr>
            <w:r w:rsidRPr="009C69E6">
              <w:t>46.88</w:t>
            </w:r>
          </w:p>
        </w:tc>
        <w:tc>
          <w:tcPr>
            <w:tcW w:w="222" w:type="dxa"/>
          </w:tcPr>
          <w:p w14:paraId="7B472D1A" w14:textId="77777777" w:rsidR="00B87C07" w:rsidRDefault="00B87C07" w:rsidP="00B87C07">
            <w:pPr>
              <w:rPr>
                <w:lang w:val="en-GB"/>
              </w:rPr>
            </w:pPr>
          </w:p>
        </w:tc>
        <w:tc>
          <w:tcPr>
            <w:tcW w:w="1072" w:type="dxa"/>
          </w:tcPr>
          <w:p w14:paraId="749A4756" w14:textId="77777777" w:rsidR="00B87C07" w:rsidRDefault="00B87C07" w:rsidP="00B87C07">
            <w:pPr>
              <w:rPr>
                <w:lang w:val="en-GB"/>
              </w:rPr>
            </w:pPr>
          </w:p>
        </w:tc>
      </w:tr>
      <w:tr w:rsidR="00B87C07" w14:paraId="192E0CA2" w14:textId="77777777" w:rsidTr="00B87C07">
        <w:tc>
          <w:tcPr>
            <w:tcW w:w="1620" w:type="dxa"/>
          </w:tcPr>
          <w:p w14:paraId="60039C29" w14:textId="2E579815" w:rsidR="00B87C07" w:rsidRDefault="00B87C07" w:rsidP="00B87C07">
            <w:pPr>
              <w:rPr>
                <w:lang w:val="en-GB"/>
              </w:rPr>
            </w:pPr>
            <w:proofErr w:type="spellStart"/>
            <w:r w:rsidRPr="009C69E6">
              <w:t>Subjective</w:t>
            </w:r>
            <w:proofErr w:type="spellEnd"/>
            <w:r w:rsidRPr="009C69E6">
              <w:t xml:space="preserve"> </w:t>
            </w:r>
            <w:proofErr w:type="spellStart"/>
            <w:r w:rsidRPr="009C69E6">
              <w:t>Sense</w:t>
            </w:r>
            <w:proofErr w:type="spellEnd"/>
            <w:r w:rsidRPr="009C69E6">
              <w:t xml:space="preserve"> </w:t>
            </w:r>
            <w:proofErr w:type="spellStart"/>
            <w:r w:rsidRPr="009C69E6">
              <w:t>of</w:t>
            </w:r>
            <w:proofErr w:type="spellEnd"/>
            <w:r w:rsidRPr="009C69E6">
              <w:t xml:space="preserve"> Comfort</w:t>
            </w:r>
          </w:p>
        </w:tc>
        <w:tc>
          <w:tcPr>
            <w:tcW w:w="718" w:type="dxa"/>
          </w:tcPr>
          <w:p w14:paraId="058AB17B" w14:textId="717236B4" w:rsidR="00B87C07" w:rsidRDefault="00B87C07" w:rsidP="00B87C07">
            <w:pPr>
              <w:rPr>
                <w:lang w:val="en-GB"/>
              </w:rPr>
            </w:pPr>
            <w:r w:rsidRPr="009C69E6">
              <w:t>47.92</w:t>
            </w:r>
          </w:p>
        </w:tc>
        <w:tc>
          <w:tcPr>
            <w:tcW w:w="222" w:type="dxa"/>
          </w:tcPr>
          <w:p w14:paraId="34C77455" w14:textId="77777777" w:rsidR="00B87C07" w:rsidRDefault="00B87C07" w:rsidP="00B87C07">
            <w:pPr>
              <w:rPr>
                <w:lang w:val="en-GB"/>
              </w:rPr>
            </w:pPr>
          </w:p>
        </w:tc>
        <w:tc>
          <w:tcPr>
            <w:tcW w:w="1072" w:type="dxa"/>
          </w:tcPr>
          <w:p w14:paraId="62C6A0A4" w14:textId="45A97F94" w:rsidR="00B87C07" w:rsidRDefault="00B87C07" w:rsidP="00B87C07">
            <w:pPr>
              <w:rPr>
                <w:lang w:val="en-GB"/>
              </w:rPr>
            </w:pPr>
            <w:proofErr w:type="spellStart"/>
            <w:r w:rsidRPr="009C69E6">
              <w:t>Std</w:t>
            </w:r>
            <w:proofErr w:type="spellEnd"/>
            <w:r w:rsidRPr="009C69E6">
              <w:t xml:space="preserve">  </w:t>
            </w:r>
            <w:proofErr w:type="spellStart"/>
            <w:r w:rsidRPr="009C69E6">
              <w:t>Deviation</w:t>
            </w:r>
            <w:proofErr w:type="spellEnd"/>
          </w:p>
        </w:tc>
      </w:tr>
      <w:tr w:rsidR="00B87C07" w14:paraId="683746F4" w14:textId="77777777" w:rsidTr="00B87C07">
        <w:tc>
          <w:tcPr>
            <w:tcW w:w="1620" w:type="dxa"/>
          </w:tcPr>
          <w:p w14:paraId="3BD2ADAA" w14:textId="12902D74" w:rsidR="00B87C07" w:rsidRDefault="00B87C07" w:rsidP="00B87C07">
            <w:pPr>
              <w:rPr>
                <w:lang w:val="en-GB"/>
              </w:rPr>
            </w:pPr>
            <w:proofErr w:type="spellStart"/>
            <w:r w:rsidRPr="009C69E6">
              <w:t>Technological</w:t>
            </w:r>
            <w:proofErr w:type="spellEnd"/>
            <w:r w:rsidRPr="009C69E6">
              <w:t xml:space="preserve"> </w:t>
            </w:r>
            <w:proofErr w:type="spellStart"/>
            <w:r w:rsidRPr="009C69E6">
              <w:t>and</w:t>
            </w:r>
            <w:proofErr w:type="spellEnd"/>
            <w:r w:rsidRPr="009C69E6">
              <w:t xml:space="preserve"> </w:t>
            </w:r>
            <w:proofErr w:type="spellStart"/>
            <w:r w:rsidRPr="009C69E6">
              <w:t>Methodological</w:t>
            </w:r>
            <w:proofErr w:type="spellEnd"/>
            <w:r w:rsidRPr="009C69E6">
              <w:t xml:space="preserve"> </w:t>
            </w:r>
            <w:proofErr w:type="spellStart"/>
            <w:r w:rsidRPr="009C69E6">
              <w:t>Impact</w:t>
            </w:r>
            <w:proofErr w:type="spellEnd"/>
          </w:p>
        </w:tc>
        <w:tc>
          <w:tcPr>
            <w:tcW w:w="718" w:type="dxa"/>
          </w:tcPr>
          <w:p w14:paraId="1C5D30F2" w14:textId="402C8911" w:rsidR="00B87C07" w:rsidRDefault="00B87C07" w:rsidP="00B87C07">
            <w:pPr>
              <w:rPr>
                <w:lang w:val="en-GB"/>
              </w:rPr>
            </w:pPr>
            <w:r w:rsidRPr="009C69E6">
              <w:t>34.38</w:t>
            </w:r>
          </w:p>
        </w:tc>
        <w:tc>
          <w:tcPr>
            <w:tcW w:w="222" w:type="dxa"/>
          </w:tcPr>
          <w:p w14:paraId="3E2B73C1" w14:textId="77777777" w:rsidR="00B87C07" w:rsidRDefault="00B87C07" w:rsidP="00B87C07">
            <w:pPr>
              <w:rPr>
                <w:lang w:val="en-GB"/>
              </w:rPr>
            </w:pPr>
          </w:p>
        </w:tc>
        <w:tc>
          <w:tcPr>
            <w:tcW w:w="1072" w:type="dxa"/>
          </w:tcPr>
          <w:p w14:paraId="240483AA" w14:textId="0793276C" w:rsidR="00B87C07" w:rsidRDefault="00B87C07" w:rsidP="00B87C07">
            <w:pPr>
              <w:rPr>
                <w:lang w:val="en-GB"/>
              </w:rPr>
            </w:pPr>
            <w:r w:rsidRPr="009C69E6">
              <w:t>11.12</w:t>
            </w:r>
          </w:p>
        </w:tc>
      </w:tr>
      <w:tr w:rsidR="00B87C07" w14:paraId="6E15559B" w14:textId="77777777" w:rsidTr="00B87C07">
        <w:tc>
          <w:tcPr>
            <w:tcW w:w="1620" w:type="dxa"/>
          </w:tcPr>
          <w:p w14:paraId="18B371D6" w14:textId="335C1055" w:rsidR="00B87C07" w:rsidRDefault="00B87C07" w:rsidP="00B87C07">
            <w:pPr>
              <w:rPr>
                <w:lang w:val="en-GB"/>
              </w:rPr>
            </w:pPr>
            <w:proofErr w:type="spellStart"/>
            <w:r w:rsidRPr="009C69E6">
              <w:t>Symbolic</w:t>
            </w:r>
            <w:proofErr w:type="spellEnd"/>
            <w:r w:rsidRPr="009C69E6">
              <w:t xml:space="preserve"> Feedback </w:t>
            </w:r>
            <w:proofErr w:type="spellStart"/>
            <w:r w:rsidRPr="009C69E6">
              <w:t>and</w:t>
            </w:r>
            <w:proofErr w:type="spellEnd"/>
            <w:r w:rsidRPr="009C69E6">
              <w:t xml:space="preserve"> </w:t>
            </w:r>
            <w:proofErr w:type="spellStart"/>
            <w:r w:rsidRPr="009C69E6">
              <w:t>Sense</w:t>
            </w:r>
            <w:proofErr w:type="spellEnd"/>
            <w:r w:rsidRPr="009C69E6">
              <w:t xml:space="preserve"> </w:t>
            </w:r>
            <w:proofErr w:type="spellStart"/>
            <w:r w:rsidRPr="009C69E6">
              <w:t>Making</w:t>
            </w:r>
            <w:proofErr w:type="spellEnd"/>
          </w:p>
        </w:tc>
        <w:tc>
          <w:tcPr>
            <w:tcW w:w="718" w:type="dxa"/>
          </w:tcPr>
          <w:p w14:paraId="3722E866" w14:textId="6DEB6C43" w:rsidR="00B87C07" w:rsidRDefault="00B87C07" w:rsidP="00B87C07">
            <w:pPr>
              <w:rPr>
                <w:lang w:val="en-GB"/>
              </w:rPr>
            </w:pPr>
            <w:r w:rsidRPr="009C69E6">
              <w:t>21.41</w:t>
            </w:r>
          </w:p>
        </w:tc>
        <w:tc>
          <w:tcPr>
            <w:tcW w:w="222" w:type="dxa"/>
          </w:tcPr>
          <w:p w14:paraId="513A59BC" w14:textId="77777777" w:rsidR="00B87C07" w:rsidRDefault="00B87C07" w:rsidP="00B87C07">
            <w:pPr>
              <w:rPr>
                <w:lang w:val="en-GB"/>
              </w:rPr>
            </w:pPr>
          </w:p>
        </w:tc>
        <w:tc>
          <w:tcPr>
            <w:tcW w:w="1072" w:type="dxa"/>
          </w:tcPr>
          <w:p w14:paraId="4691627B" w14:textId="77777777" w:rsidR="00B87C07" w:rsidRDefault="00B87C07" w:rsidP="00B87C07">
            <w:pPr>
              <w:rPr>
                <w:lang w:val="en-GB"/>
              </w:rPr>
            </w:pPr>
          </w:p>
        </w:tc>
      </w:tr>
    </w:tbl>
    <w:p w14:paraId="7AF4C125" w14:textId="431E17D6" w:rsidR="00B87C07" w:rsidRDefault="00B87C07" w:rsidP="00C13498">
      <w:pPr>
        <w:rPr>
          <w:lang w:val="en-GB"/>
        </w:rPr>
      </w:pPr>
    </w:p>
    <w:p w14:paraId="74854A8D" w14:textId="7169FF6B" w:rsidR="00BC25AE" w:rsidRDefault="00BC25AE" w:rsidP="00C13498">
      <w:pPr>
        <w:rPr>
          <w:lang w:val="en-GB"/>
        </w:rPr>
      </w:pPr>
      <w:r w:rsidRPr="00BC25AE">
        <w:rPr>
          <w:lang w:val="en-GB"/>
        </w:rPr>
        <w:t xml:space="preserve">    Performing a two-sample t-test, we can attempt to prove our hypothesis through an opposite one of that which we're looking for. By </w:t>
      </w:r>
      <w:r w:rsidR="00003309" w:rsidRPr="00BC25AE">
        <w:rPr>
          <w:lang w:val="en-GB"/>
        </w:rPr>
        <w:t>attempting</w:t>
      </w:r>
      <w:r w:rsidRPr="00BC25AE">
        <w:rPr>
          <w:lang w:val="en-GB"/>
        </w:rPr>
        <w:t xml:space="preserve"> to discredit that the samples have similar characteristics, we could find suggesting evidence and a given level of </w:t>
      </w:r>
      <w:r w:rsidR="00003309">
        <w:rPr>
          <w:lang w:val="en-GB"/>
        </w:rPr>
        <w:t>significance</w:t>
      </w:r>
      <w:r w:rsidRPr="00BC25AE">
        <w:rPr>
          <w:lang w:val="en-GB"/>
        </w:rPr>
        <w:t xml:space="preserve"> that the games had different impacts on the players. However, at a significance level of 0.05, we already find no convincing enough evidence that the two samples differ significantly</w:t>
      </w:r>
      <w:r w:rsidR="00003309">
        <w:rPr>
          <w:lang w:val="en-GB"/>
        </w:rPr>
        <w:t xml:space="preserve"> in their immersiveness</w:t>
      </w:r>
      <w:r w:rsidRPr="00BC25AE">
        <w:rPr>
          <w:lang w:val="en-GB"/>
        </w:rPr>
        <w:t>. And given that at, at p-value 0.05, there's at least 23\% (and typically close to 50\%) chance of incorrectly suggesting the alternate hypothesis, this proves to not be a valid vector by which difference between the two groups can be established.</w:t>
      </w:r>
    </w:p>
    <w:p w14:paraId="0A78A8A1" w14:textId="51E9EC99" w:rsidR="00736BB3" w:rsidRDefault="00736BB3" w:rsidP="00C13498">
      <w:pPr>
        <w:rPr>
          <w:lang w:val="en-GB"/>
        </w:rPr>
      </w:pPr>
    </w:p>
    <w:p w14:paraId="162687B2" w14:textId="05B3D5A9" w:rsidR="00736BB3" w:rsidRDefault="00736BB3" w:rsidP="00736BB3">
      <w:pPr>
        <w:pStyle w:val="Heading2"/>
        <w:rPr>
          <w:lang w:val="en-GB"/>
        </w:rPr>
      </w:pPr>
      <w:r w:rsidRPr="00736BB3">
        <w:rPr>
          <w:lang w:val="en-GB"/>
        </w:rPr>
        <w:t>Loose Observations</w:t>
      </w:r>
    </w:p>
    <w:p w14:paraId="5F1866AB" w14:textId="2C061C6B" w:rsidR="00736BB3" w:rsidRDefault="006B417C" w:rsidP="00736BB3">
      <w:pPr>
        <w:rPr>
          <w:lang w:val="en-GB"/>
        </w:rPr>
      </w:pPr>
      <w:r w:rsidRPr="006B417C">
        <w:rPr>
          <w:lang w:val="en-GB"/>
        </w:rPr>
        <w:t xml:space="preserve">    Both cultural and non-cultural groups were requested to name the most memorable part of the game. Out of 4 exceptions, both parties named the same element. Those exceptions include 2 users speaking of their frustration with movement, and 2 speaking of the moment of victory. All remaining 13 users singled out the blue animated humanoid NPC due to the richness of its responsiveness and interaction. Also, as noted earlier, this NPC reacted by performing </w:t>
      </w:r>
      <w:r w:rsidR="00ED7E32" w:rsidRPr="006B417C">
        <w:rPr>
          <w:lang w:val="en-GB"/>
        </w:rPr>
        <w:t>its</w:t>
      </w:r>
      <w:r w:rsidRPr="006B417C">
        <w:rPr>
          <w:lang w:val="en-GB"/>
        </w:rPr>
        <w:t xml:space="preserve"> own gestures, two of which were done in a similar fashion to the </w:t>
      </w:r>
      <w:r w:rsidR="00ED7E32" w:rsidRPr="006B417C">
        <w:rPr>
          <w:lang w:val="en-GB"/>
        </w:rPr>
        <w:t>Cultural</w:t>
      </w:r>
      <w:r w:rsidRPr="006B417C">
        <w:rPr>
          <w:lang w:val="en-GB"/>
        </w:rPr>
        <w:t xml:space="preserve"> Group's (Waving and Pointing), which may have influenced the Non-Cultural Group's m</w:t>
      </w:r>
      <w:r w:rsidR="00ED7E32">
        <w:rPr>
          <w:lang w:val="en-GB"/>
        </w:rPr>
        <w:t>e</w:t>
      </w:r>
      <w:r w:rsidRPr="006B417C">
        <w:rPr>
          <w:lang w:val="en-GB"/>
        </w:rPr>
        <w:t>mory of the experience.\\</w:t>
      </w:r>
    </w:p>
    <w:p w14:paraId="0EB2260D" w14:textId="77777777" w:rsidR="00CF3F28" w:rsidRPr="00CF3F28" w:rsidRDefault="00CF3F28" w:rsidP="00CF3F28">
      <w:pPr>
        <w:rPr>
          <w:lang w:val="en-GB"/>
        </w:rPr>
      </w:pPr>
      <w:r w:rsidRPr="00CF3F28">
        <w:rPr>
          <w:lang w:val="en-GB"/>
        </w:rPr>
        <w:t>On the second part of the second trial</w:t>
      </w:r>
      <w:r w:rsidRPr="00CF3F28">
        <w:rPr>
          <w:lang w:val="en-GB"/>
        </w:rPr>
        <w:t>’</w:t>
      </w:r>
      <w:r w:rsidRPr="00CF3F28">
        <w:rPr>
          <w:lang w:val="en-GB"/>
        </w:rPr>
        <w:t>s post-test, after the being questioned about the tasks, the</w:t>
      </w:r>
    </w:p>
    <w:p w14:paraId="636A876A" w14:textId="77777777" w:rsidR="00CF3F28" w:rsidRPr="00CF3F28" w:rsidRDefault="00CF3F28" w:rsidP="00CF3F28">
      <w:pPr>
        <w:rPr>
          <w:lang w:val="en-GB"/>
        </w:rPr>
      </w:pPr>
      <w:r w:rsidRPr="00CF3F28">
        <w:rPr>
          <w:lang w:val="en-GB"/>
        </w:rPr>
        <w:lastRenderedPageBreak/>
        <w:t>volunteers were asked about substitutions to the gesture set, while also being reminded of what the</w:t>
      </w:r>
    </w:p>
    <w:p w14:paraId="08D9E908" w14:textId="77777777" w:rsidR="00CF3F28" w:rsidRPr="00CF3F28" w:rsidRDefault="00CF3F28" w:rsidP="00CF3F28">
      <w:pPr>
        <w:rPr>
          <w:lang w:val="en-GB"/>
        </w:rPr>
      </w:pPr>
      <w:r w:rsidRPr="00CF3F28">
        <w:rPr>
          <w:lang w:val="en-GB"/>
        </w:rPr>
        <w:t>actual gesture set was. Out of 19 (17 from the Non-Cultural Group) suggestions, only 1 did not in-</w:t>
      </w:r>
    </w:p>
    <w:p w14:paraId="2ACD88E9" w14:textId="77777777" w:rsidR="00CF3F28" w:rsidRPr="00CF3F28" w:rsidRDefault="00CF3F28" w:rsidP="00CF3F28">
      <w:pPr>
        <w:rPr>
          <w:lang w:val="en-GB"/>
        </w:rPr>
      </w:pPr>
      <w:proofErr w:type="spellStart"/>
      <w:r w:rsidRPr="00CF3F28">
        <w:rPr>
          <w:lang w:val="en-GB"/>
        </w:rPr>
        <w:t>volve</w:t>
      </w:r>
      <w:proofErr w:type="spellEnd"/>
      <w:r w:rsidRPr="00CF3F28">
        <w:rPr>
          <w:lang w:val="en-GB"/>
        </w:rPr>
        <w:t xml:space="preserve"> a cultural gesture, and only an additional 2 didn</w:t>
      </w:r>
      <w:r w:rsidRPr="00CF3F28">
        <w:rPr>
          <w:lang w:val="en-GB"/>
        </w:rPr>
        <w:t>’</w:t>
      </w:r>
      <w:r w:rsidRPr="00CF3F28">
        <w:rPr>
          <w:lang w:val="en-GB"/>
        </w:rPr>
        <w:t>t involve emblematic gestures. Non-Cultural</w:t>
      </w:r>
    </w:p>
    <w:p w14:paraId="7AA81FB6" w14:textId="2A0A248B" w:rsidR="00736BB3" w:rsidRPr="00736BB3" w:rsidRDefault="00CF3F28" w:rsidP="00CF3F28">
      <w:pPr>
        <w:rPr>
          <w:lang w:val="en-GB"/>
        </w:rPr>
      </w:pPr>
      <w:r w:rsidRPr="00CF3F28">
        <w:rPr>
          <w:lang w:val="en-GB"/>
        </w:rPr>
        <w:t>Group participants were fixated on gestures that ended up belonging to the Cultural gesture set.</w:t>
      </w:r>
      <w:bookmarkStart w:id="0" w:name="_GoBack"/>
      <w:bookmarkEnd w:id="0"/>
    </w:p>
    <w:sectPr w:rsidR="00736BB3" w:rsidRPr="00736BB3" w:rsidSect="00487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F142C" w14:textId="77777777" w:rsidR="006100CA" w:rsidRDefault="006100CA" w:rsidP="007D24E9">
      <w:pPr>
        <w:spacing w:after="0" w:line="240" w:lineRule="auto"/>
      </w:pPr>
      <w:r>
        <w:separator/>
      </w:r>
    </w:p>
  </w:endnote>
  <w:endnote w:type="continuationSeparator" w:id="0">
    <w:p w14:paraId="6F79FA6E" w14:textId="77777777" w:rsidR="006100CA" w:rsidRDefault="006100CA" w:rsidP="007D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27DCD" w14:textId="77777777" w:rsidR="006100CA" w:rsidRDefault="006100CA" w:rsidP="007D24E9">
      <w:pPr>
        <w:spacing w:after="0" w:line="240" w:lineRule="auto"/>
      </w:pPr>
      <w:r>
        <w:separator/>
      </w:r>
    </w:p>
  </w:footnote>
  <w:footnote w:type="continuationSeparator" w:id="0">
    <w:p w14:paraId="37177842" w14:textId="77777777" w:rsidR="006100CA" w:rsidRDefault="006100CA" w:rsidP="007D2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8443B"/>
    <w:multiLevelType w:val="hybridMultilevel"/>
    <w:tmpl w:val="B1B4C35C"/>
    <w:lvl w:ilvl="0" w:tplc="461E548A">
      <w:numFmt w:val="bullet"/>
      <w:lvlText w:val=""/>
      <w:lvlJc w:val="left"/>
      <w:pPr>
        <w:ind w:left="405" w:hanging="360"/>
      </w:pPr>
      <w:rPr>
        <w:rFonts w:ascii="Symbol" w:eastAsia="Times New Roman" w:hAnsi="Symbol"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E9"/>
    <w:rsid w:val="00002542"/>
    <w:rsid w:val="00003309"/>
    <w:rsid w:val="00014692"/>
    <w:rsid w:val="00015D72"/>
    <w:rsid w:val="00016C0E"/>
    <w:rsid w:val="00023A02"/>
    <w:rsid w:val="00027B36"/>
    <w:rsid w:val="00033383"/>
    <w:rsid w:val="00036ABF"/>
    <w:rsid w:val="00041E6E"/>
    <w:rsid w:val="00044B38"/>
    <w:rsid w:val="000513D1"/>
    <w:rsid w:val="00051572"/>
    <w:rsid w:val="000702DB"/>
    <w:rsid w:val="0007487A"/>
    <w:rsid w:val="00086050"/>
    <w:rsid w:val="000966B4"/>
    <w:rsid w:val="00096F63"/>
    <w:rsid w:val="000A1370"/>
    <w:rsid w:val="000A53CA"/>
    <w:rsid w:val="000A55D7"/>
    <w:rsid w:val="000A5820"/>
    <w:rsid w:val="000A6666"/>
    <w:rsid w:val="000C656F"/>
    <w:rsid w:val="000D5F4D"/>
    <w:rsid w:val="000E4A4D"/>
    <w:rsid w:val="000E6C75"/>
    <w:rsid w:val="00115654"/>
    <w:rsid w:val="00116D00"/>
    <w:rsid w:val="001301B4"/>
    <w:rsid w:val="00130D7A"/>
    <w:rsid w:val="001315A2"/>
    <w:rsid w:val="0013169E"/>
    <w:rsid w:val="00133DC5"/>
    <w:rsid w:val="00156223"/>
    <w:rsid w:val="001619F7"/>
    <w:rsid w:val="00161E2A"/>
    <w:rsid w:val="001631CC"/>
    <w:rsid w:val="00175548"/>
    <w:rsid w:val="00180D4A"/>
    <w:rsid w:val="00185E28"/>
    <w:rsid w:val="00190EE7"/>
    <w:rsid w:val="0019359C"/>
    <w:rsid w:val="00196F06"/>
    <w:rsid w:val="001A0174"/>
    <w:rsid w:val="001A031C"/>
    <w:rsid w:val="001A17BA"/>
    <w:rsid w:val="001A63DB"/>
    <w:rsid w:val="001C6B18"/>
    <w:rsid w:val="001D0402"/>
    <w:rsid w:val="001D0E20"/>
    <w:rsid w:val="001D34FB"/>
    <w:rsid w:val="001D4D12"/>
    <w:rsid w:val="001E4016"/>
    <w:rsid w:val="001F1A7A"/>
    <w:rsid w:val="001F51BC"/>
    <w:rsid w:val="00200413"/>
    <w:rsid w:val="00204AD8"/>
    <w:rsid w:val="00205376"/>
    <w:rsid w:val="002065C2"/>
    <w:rsid w:val="00215F9C"/>
    <w:rsid w:val="00222B16"/>
    <w:rsid w:val="002437EA"/>
    <w:rsid w:val="00254B58"/>
    <w:rsid w:val="00255FBD"/>
    <w:rsid w:val="002665C0"/>
    <w:rsid w:val="002724E1"/>
    <w:rsid w:val="0028061E"/>
    <w:rsid w:val="00282683"/>
    <w:rsid w:val="00284067"/>
    <w:rsid w:val="00296886"/>
    <w:rsid w:val="002A2549"/>
    <w:rsid w:val="002A35C3"/>
    <w:rsid w:val="002C28C3"/>
    <w:rsid w:val="002C32CA"/>
    <w:rsid w:val="002C3B9C"/>
    <w:rsid w:val="002C5C14"/>
    <w:rsid w:val="002D783D"/>
    <w:rsid w:val="002E0711"/>
    <w:rsid w:val="002E5F1D"/>
    <w:rsid w:val="002F1C57"/>
    <w:rsid w:val="003134E0"/>
    <w:rsid w:val="003172EF"/>
    <w:rsid w:val="0032214D"/>
    <w:rsid w:val="003341E5"/>
    <w:rsid w:val="00342441"/>
    <w:rsid w:val="003439DB"/>
    <w:rsid w:val="00352713"/>
    <w:rsid w:val="003532A8"/>
    <w:rsid w:val="00354749"/>
    <w:rsid w:val="0035722A"/>
    <w:rsid w:val="00367226"/>
    <w:rsid w:val="00375105"/>
    <w:rsid w:val="00385424"/>
    <w:rsid w:val="003874C6"/>
    <w:rsid w:val="00391F3A"/>
    <w:rsid w:val="00393E02"/>
    <w:rsid w:val="0039569E"/>
    <w:rsid w:val="003B1538"/>
    <w:rsid w:val="003C1C80"/>
    <w:rsid w:val="003C1FC9"/>
    <w:rsid w:val="003C37E6"/>
    <w:rsid w:val="003C6189"/>
    <w:rsid w:val="003E2E40"/>
    <w:rsid w:val="003E3175"/>
    <w:rsid w:val="003E31A0"/>
    <w:rsid w:val="003E457B"/>
    <w:rsid w:val="003E4DF3"/>
    <w:rsid w:val="003F2271"/>
    <w:rsid w:val="00400A1E"/>
    <w:rsid w:val="00402855"/>
    <w:rsid w:val="0040490E"/>
    <w:rsid w:val="00414314"/>
    <w:rsid w:val="004206B9"/>
    <w:rsid w:val="004235BD"/>
    <w:rsid w:val="004263AE"/>
    <w:rsid w:val="00426511"/>
    <w:rsid w:val="00444F51"/>
    <w:rsid w:val="00445F32"/>
    <w:rsid w:val="00450DEA"/>
    <w:rsid w:val="00451A78"/>
    <w:rsid w:val="00454C75"/>
    <w:rsid w:val="00464C15"/>
    <w:rsid w:val="00467E6A"/>
    <w:rsid w:val="00471267"/>
    <w:rsid w:val="00471EBD"/>
    <w:rsid w:val="004749A4"/>
    <w:rsid w:val="0047656B"/>
    <w:rsid w:val="004875CF"/>
    <w:rsid w:val="00492A22"/>
    <w:rsid w:val="00497CBB"/>
    <w:rsid w:val="004D080E"/>
    <w:rsid w:val="004D263E"/>
    <w:rsid w:val="004E63AD"/>
    <w:rsid w:val="004F2867"/>
    <w:rsid w:val="00510058"/>
    <w:rsid w:val="005122A4"/>
    <w:rsid w:val="00516725"/>
    <w:rsid w:val="00520DB2"/>
    <w:rsid w:val="005227C5"/>
    <w:rsid w:val="00522D70"/>
    <w:rsid w:val="005321E7"/>
    <w:rsid w:val="005348D9"/>
    <w:rsid w:val="00545F3A"/>
    <w:rsid w:val="00554802"/>
    <w:rsid w:val="00557901"/>
    <w:rsid w:val="00561944"/>
    <w:rsid w:val="005623FA"/>
    <w:rsid w:val="005715EE"/>
    <w:rsid w:val="00572C43"/>
    <w:rsid w:val="00576E8F"/>
    <w:rsid w:val="005A58B2"/>
    <w:rsid w:val="005B48E7"/>
    <w:rsid w:val="005C367A"/>
    <w:rsid w:val="005D243C"/>
    <w:rsid w:val="005E4AB0"/>
    <w:rsid w:val="005F1192"/>
    <w:rsid w:val="00605A31"/>
    <w:rsid w:val="00606C2A"/>
    <w:rsid w:val="006100CA"/>
    <w:rsid w:val="00614A67"/>
    <w:rsid w:val="00615047"/>
    <w:rsid w:val="00622753"/>
    <w:rsid w:val="006257F7"/>
    <w:rsid w:val="00631D27"/>
    <w:rsid w:val="00632293"/>
    <w:rsid w:val="00633668"/>
    <w:rsid w:val="00634760"/>
    <w:rsid w:val="006518B0"/>
    <w:rsid w:val="00652FAD"/>
    <w:rsid w:val="00685786"/>
    <w:rsid w:val="00686689"/>
    <w:rsid w:val="00686C89"/>
    <w:rsid w:val="006900A1"/>
    <w:rsid w:val="00693E23"/>
    <w:rsid w:val="00693EEA"/>
    <w:rsid w:val="00694235"/>
    <w:rsid w:val="006B417C"/>
    <w:rsid w:val="006D3D45"/>
    <w:rsid w:val="006D7A51"/>
    <w:rsid w:val="0071048B"/>
    <w:rsid w:val="00713775"/>
    <w:rsid w:val="00714A55"/>
    <w:rsid w:val="0073002B"/>
    <w:rsid w:val="007314F8"/>
    <w:rsid w:val="00734BAB"/>
    <w:rsid w:val="00736BB3"/>
    <w:rsid w:val="00741267"/>
    <w:rsid w:val="00753E5D"/>
    <w:rsid w:val="00755D16"/>
    <w:rsid w:val="007600BC"/>
    <w:rsid w:val="00761E7C"/>
    <w:rsid w:val="007708BE"/>
    <w:rsid w:val="00782A53"/>
    <w:rsid w:val="007846E0"/>
    <w:rsid w:val="0078591B"/>
    <w:rsid w:val="00793C66"/>
    <w:rsid w:val="007A4E43"/>
    <w:rsid w:val="007A5240"/>
    <w:rsid w:val="007B13E0"/>
    <w:rsid w:val="007D0CC4"/>
    <w:rsid w:val="007D17F7"/>
    <w:rsid w:val="007D201B"/>
    <w:rsid w:val="007D21F7"/>
    <w:rsid w:val="007D24E9"/>
    <w:rsid w:val="007D430A"/>
    <w:rsid w:val="007D7877"/>
    <w:rsid w:val="00804F53"/>
    <w:rsid w:val="00806091"/>
    <w:rsid w:val="008070BF"/>
    <w:rsid w:val="0081422A"/>
    <w:rsid w:val="0081620E"/>
    <w:rsid w:val="00817E30"/>
    <w:rsid w:val="00823FEB"/>
    <w:rsid w:val="00826E63"/>
    <w:rsid w:val="008424F1"/>
    <w:rsid w:val="00843FFF"/>
    <w:rsid w:val="00845671"/>
    <w:rsid w:val="00850CA1"/>
    <w:rsid w:val="00863B8C"/>
    <w:rsid w:val="00867F22"/>
    <w:rsid w:val="0087100D"/>
    <w:rsid w:val="0087365F"/>
    <w:rsid w:val="008762A3"/>
    <w:rsid w:val="0087753F"/>
    <w:rsid w:val="008804E2"/>
    <w:rsid w:val="00890B23"/>
    <w:rsid w:val="008956A9"/>
    <w:rsid w:val="008A32E4"/>
    <w:rsid w:val="008A42D5"/>
    <w:rsid w:val="008A7F97"/>
    <w:rsid w:val="008B1614"/>
    <w:rsid w:val="008B426F"/>
    <w:rsid w:val="008B7EC3"/>
    <w:rsid w:val="008C3110"/>
    <w:rsid w:val="008D0B28"/>
    <w:rsid w:val="008F5A48"/>
    <w:rsid w:val="00906D14"/>
    <w:rsid w:val="00913CE1"/>
    <w:rsid w:val="0092042E"/>
    <w:rsid w:val="00921B39"/>
    <w:rsid w:val="009263BB"/>
    <w:rsid w:val="00927107"/>
    <w:rsid w:val="0093232D"/>
    <w:rsid w:val="009352B8"/>
    <w:rsid w:val="009524DF"/>
    <w:rsid w:val="00952811"/>
    <w:rsid w:val="009608E1"/>
    <w:rsid w:val="00971B3C"/>
    <w:rsid w:val="00976E7B"/>
    <w:rsid w:val="009855DF"/>
    <w:rsid w:val="00985713"/>
    <w:rsid w:val="00991379"/>
    <w:rsid w:val="009C3E09"/>
    <w:rsid w:val="009D2152"/>
    <w:rsid w:val="009E0E4C"/>
    <w:rsid w:val="009E2131"/>
    <w:rsid w:val="009E4999"/>
    <w:rsid w:val="009F112E"/>
    <w:rsid w:val="00A00D21"/>
    <w:rsid w:val="00A02F5E"/>
    <w:rsid w:val="00A07B58"/>
    <w:rsid w:val="00A35E7A"/>
    <w:rsid w:val="00A54245"/>
    <w:rsid w:val="00A5532F"/>
    <w:rsid w:val="00A74582"/>
    <w:rsid w:val="00A76882"/>
    <w:rsid w:val="00A94091"/>
    <w:rsid w:val="00AA1C14"/>
    <w:rsid w:val="00AB11D5"/>
    <w:rsid w:val="00AB47BD"/>
    <w:rsid w:val="00AC2B03"/>
    <w:rsid w:val="00AC3FA0"/>
    <w:rsid w:val="00AC43E7"/>
    <w:rsid w:val="00AC5565"/>
    <w:rsid w:val="00AC6B68"/>
    <w:rsid w:val="00AD2E23"/>
    <w:rsid w:val="00AD352E"/>
    <w:rsid w:val="00AD384A"/>
    <w:rsid w:val="00AE75F2"/>
    <w:rsid w:val="00AF16CC"/>
    <w:rsid w:val="00AF3DFF"/>
    <w:rsid w:val="00AF3F23"/>
    <w:rsid w:val="00B02871"/>
    <w:rsid w:val="00B10935"/>
    <w:rsid w:val="00B15150"/>
    <w:rsid w:val="00B16D4B"/>
    <w:rsid w:val="00B301AC"/>
    <w:rsid w:val="00B310E4"/>
    <w:rsid w:val="00B41B47"/>
    <w:rsid w:val="00B438F9"/>
    <w:rsid w:val="00B455DD"/>
    <w:rsid w:val="00B53FA3"/>
    <w:rsid w:val="00B56017"/>
    <w:rsid w:val="00B63435"/>
    <w:rsid w:val="00B67929"/>
    <w:rsid w:val="00B70878"/>
    <w:rsid w:val="00B756E8"/>
    <w:rsid w:val="00B8297B"/>
    <w:rsid w:val="00B87C07"/>
    <w:rsid w:val="00BA7D38"/>
    <w:rsid w:val="00BB0E2E"/>
    <w:rsid w:val="00BC25AE"/>
    <w:rsid w:val="00BE10C9"/>
    <w:rsid w:val="00C01DDD"/>
    <w:rsid w:val="00C06494"/>
    <w:rsid w:val="00C13498"/>
    <w:rsid w:val="00C13890"/>
    <w:rsid w:val="00C151F1"/>
    <w:rsid w:val="00C21159"/>
    <w:rsid w:val="00C23026"/>
    <w:rsid w:val="00C245A9"/>
    <w:rsid w:val="00C2485E"/>
    <w:rsid w:val="00C329B0"/>
    <w:rsid w:val="00C33ADD"/>
    <w:rsid w:val="00C35D7E"/>
    <w:rsid w:val="00C4515B"/>
    <w:rsid w:val="00C452C9"/>
    <w:rsid w:val="00C61C05"/>
    <w:rsid w:val="00C651C5"/>
    <w:rsid w:val="00C67678"/>
    <w:rsid w:val="00C70E55"/>
    <w:rsid w:val="00C776E0"/>
    <w:rsid w:val="00C8062B"/>
    <w:rsid w:val="00C853F4"/>
    <w:rsid w:val="00CB7DD1"/>
    <w:rsid w:val="00CD1C21"/>
    <w:rsid w:val="00CD7E1C"/>
    <w:rsid w:val="00CE0FBE"/>
    <w:rsid w:val="00CF3F28"/>
    <w:rsid w:val="00CF5A69"/>
    <w:rsid w:val="00D03573"/>
    <w:rsid w:val="00D10015"/>
    <w:rsid w:val="00D1605D"/>
    <w:rsid w:val="00D17B38"/>
    <w:rsid w:val="00D23CA0"/>
    <w:rsid w:val="00D32DF7"/>
    <w:rsid w:val="00D50AC8"/>
    <w:rsid w:val="00D63186"/>
    <w:rsid w:val="00D634EF"/>
    <w:rsid w:val="00D76E56"/>
    <w:rsid w:val="00D773FF"/>
    <w:rsid w:val="00D77D03"/>
    <w:rsid w:val="00D83507"/>
    <w:rsid w:val="00D83D3E"/>
    <w:rsid w:val="00D85EDF"/>
    <w:rsid w:val="00D91AC8"/>
    <w:rsid w:val="00D92D21"/>
    <w:rsid w:val="00D96EBC"/>
    <w:rsid w:val="00DA02B2"/>
    <w:rsid w:val="00DA13A7"/>
    <w:rsid w:val="00DA703E"/>
    <w:rsid w:val="00DB1F70"/>
    <w:rsid w:val="00DB35B3"/>
    <w:rsid w:val="00DB3A58"/>
    <w:rsid w:val="00DB7F5C"/>
    <w:rsid w:val="00DC02E2"/>
    <w:rsid w:val="00DD27AA"/>
    <w:rsid w:val="00DD53EC"/>
    <w:rsid w:val="00E00B8D"/>
    <w:rsid w:val="00E05464"/>
    <w:rsid w:val="00E10219"/>
    <w:rsid w:val="00E22D1A"/>
    <w:rsid w:val="00E2423E"/>
    <w:rsid w:val="00E31C0F"/>
    <w:rsid w:val="00E35C88"/>
    <w:rsid w:val="00E40436"/>
    <w:rsid w:val="00E4077E"/>
    <w:rsid w:val="00E51AB4"/>
    <w:rsid w:val="00E545DD"/>
    <w:rsid w:val="00E6086D"/>
    <w:rsid w:val="00E60958"/>
    <w:rsid w:val="00E6322C"/>
    <w:rsid w:val="00E63F07"/>
    <w:rsid w:val="00E761CA"/>
    <w:rsid w:val="00E8203A"/>
    <w:rsid w:val="00EA72EB"/>
    <w:rsid w:val="00ED7E32"/>
    <w:rsid w:val="00EF77EE"/>
    <w:rsid w:val="00F12EBA"/>
    <w:rsid w:val="00F2156C"/>
    <w:rsid w:val="00F21829"/>
    <w:rsid w:val="00F447D5"/>
    <w:rsid w:val="00F6590D"/>
    <w:rsid w:val="00F659D2"/>
    <w:rsid w:val="00F716D5"/>
    <w:rsid w:val="00F760B2"/>
    <w:rsid w:val="00F8753F"/>
    <w:rsid w:val="00F909CA"/>
    <w:rsid w:val="00FA0C5B"/>
    <w:rsid w:val="00FA0E43"/>
    <w:rsid w:val="00FA2C6C"/>
    <w:rsid w:val="00FA7306"/>
    <w:rsid w:val="00FB39AC"/>
    <w:rsid w:val="00FC2C49"/>
    <w:rsid w:val="00FC4368"/>
    <w:rsid w:val="00FC539D"/>
    <w:rsid w:val="00FC5A48"/>
    <w:rsid w:val="00FD213A"/>
    <w:rsid w:val="00FD4A19"/>
    <w:rsid w:val="00FE2240"/>
    <w:rsid w:val="00FE40BB"/>
    <w:rsid w:val="00FE6CDC"/>
    <w:rsid w:val="00FE705E"/>
    <w:rsid w:val="00FE754B"/>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1CD3"/>
  <w15:chartTrackingRefBased/>
  <w15:docId w15:val="{491237CF-0488-4D62-A61C-A65F42A8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6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4E9"/>
  </w:style>
  <w:style w:type="paragraph" w:styleId="Footer">
    <w:name w:val="footer"/>
    <w:basedOn w:val="Normal"/>
    <w:link w:val="FooterChar"/>
    <w:uiPriority w:val="99"/>
    <w:unhideWhenUsed/>
    <w:rsid w:val="007D2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4E9"/>
  </w:style>
  <w:style w:type="paragraph" w:styleId="NoSpacing">
    <w:name w:val="No Spacing"/>
    <w:uiPriority w:val="1"/>
    <w:qFormat/>
    <w:rsid w:val="00393E02"/>
    <w:pPr>
      <w:spacing w:after="0" w:line="240" w:lineRule="auto"/>
    </w:pPr>
  </w:style>
  <w:style w:type="character" w:customStyle="1" w:styleId="Heading1Char">
    <w:name w:val="Heading 1 Char"/>
    <w:basedOn w:val="DefaultParagraphFont"/>
    <w:link w:val="Heading1"/>
    <w:uiPriority w:val="9"/>
    <w:rsid w:val="00393E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C6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CC4"/>
    <w:pPr>
      <w:ind w:left="720"/>
      <w:contextualSpacing/>
    </w:pPr>
  </w:style>
  <w:style w:type="character" w:customStyle="1" w:styleId="Heading2Char">
    <w:name w:val="Heading 2 Char"/>
    <w:basedOn w:val="DefaultParagraphFont"/>
    <w:link w:val="Heading2"/>
    <w:uiPriority w:val="9"/>
    <w:rsid w:val="00A745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6F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3354">
      <w:bodyDiv w:val="1"/>
      <w:marLeft w:val="0"/>
      <w:marRight w:val="0"/>
      <w:marTop w:val="0"/>
      <w:marBottom w:val="0"/>
      <w:divBdr>
        <w:top w:val="none" w:sz="0" w:space="0" w:color="auto"/>
        <w:left w:val="none" w:sz="0" w:space="0" w:color="auto"/>
        <w:bottom w:val="none" w:sz="0" w:space="0" w:color="auto"/>
        <w:right w:val="none" w:sz="0" w:space="0" w:color="auto"/>
      </w:divBdr>
    </w:div>
    <w:div w:id="259920810">
      <w:bodyDiv w:val="1"/>
      <w:marLeft w:val="0"/>
      <w:marRight w:val="0"/>
      <w:marTop w:val="0"/>
      <w:marBottom w:val="0"/>
      <w:divBdr>
        <w:top w:val="none" w:sz="0" w:space="0" w:color="auto"/>
        <w:left w:val="none" w:sz="0" w:space="0" w:color="auto"/>
        <w:bottom w:val="none" w:sz="0" w:space="0" w:color="auto"/>
        <w:right w:val="none" w:sz="0" w:space="0" w:color="auto"/>
      </w:divBdr>
    </w:div>
    <w:div w:id="350688723">
      <w:bodyDiv w:val="1"/>
      <w:marLeft w:val="0"/>
      <w:marRight w:val="0"/>
      <w:marTop w:val="0"/>
      <w:marBottom w:val="0"/>
      <w:divBdr>
        <w:top w:val="none" w:sz="0" w:space="0" w:color="auto"/>
        <w:left w:val="none" w:sz="0" w:space="0" w:color="auto"/>
        <w:bottom w:val="none" w:sz="0" w:space="0" w:color="auto"/>
        <w:right w:val="none" w:sz="0" w:space="0" w:color="auto"/>
      </w:divBdr>
    </w:div>
    <w:div w:id="402917288">
      <w:bodyDiv w:val="1"/>
      <w:marLeft w:val="0"/>
      <w:marRight w:val="0"/>
      <w:marTop w:val="0"/>
      <w:marBottom w:val="0"/>
      <w:divBdr>
        <w:top w:val="none" w:sz="0" w:space="0" w:color="auto"/>
        <w:left w:val="none" w:sz="0" w:space="0" w:color="auto"/>
        <w:bottom w:val="none" w:sz="0" w:space="0" w:color="auto"/>
        <w:right w:val="none" w:sz="0" w:space="0" w:color="auto"/>
      </w:divBdr>
      <w:divsChild>
        <w:div w:id="179241569">
          <w:marLeft w:val="0"/>
          <w:marRight w:val="0"/>
          <w:marTop w:val="0"/>
          <w:marBottom w:val="0"/>
          <w:divBdr>
            <w:top w:val="none" w:sz="0" w:space="0" w:color="auto"/>
            <w:left w:val="none" w:sz="0" w:space="0" w:color="auto"/>
            <w:bottom w:val="none" w:sz="0" w:space="0" w:color="auto"/>
            <w:right w:val="none" w:sz="0" w:space="0" w:color="auto"/>
          </w:divBdr>
        </w:div>
        <w:div w:id="981890210">
          <w:marLeft w:val="0"/>
          <w:marRight w:val="0"/>
          <w:marTop w:val="0"/>
          <w:marBottom w:val="0"/>
          <w:divBdr>
            <w:top w:val="none" w:sz="0" w:space="0" w:color="auto"/>
            <w:left w:val="none" w:sz="0" w:space="0" w:color="auto"/>
            <w:bottom w:val="none" w:sz="0" w:space="0" w:color="auto"/>
            <w:right w:val="none" w:sz="0" w:space="0" w:color="auto"/>
          </w:divBdr>
        </w:div>
        <w:div w:id="282998029">
          <w:marLeft w:val="0"/>
          <w:marRight w:val="0"/>
          <w:marTop w:val="0"/>
          <w:marBottom w:val="0"/>
          <w:divBdr>
            <w:top w:val="none" w:sz="0" w:space="0" w:color="auto"/>
            <w:left w:val="none" w:sz="0" w:space="0" w:color="auto"/>
            <w:bottom w:val="none" w:sz="0" w:space="0" w:color="auto"/>
            <w:right w:val="none" w:sz="0" w:space="0" w:color="auto"/>
          </w:divBdr>
        </w:div>
        <w:div w:id="1082751837">
          <w:marLeft w:val="0"/>
          <w:marRight w:val="0"/>
          <w:marTop w:val="0"/>
          <w:marBottom w:val="0"/>
          <w:divBdr>
            <w:top w:val="none" w:sz="0" w:space="0" w:color="auto"/>
            <w:left w:val="none" w:sz="0" w:space="0" w:color="auto"/>
            <w:bottom w:val="none" w:sz="0" w:space="0" w:color="auto"/>
            <w:right w:val="none" w:sz="0" w:space="0" w:color="auto"/>
          </w:divBdr>
        </w:div>
        <w:div w:id="1219053327">
          <w:marLeft w:val="0"/>
          <w:marRight w:val="0"/>
          <w:marTop w:val="0"/>
          <w:marBottom w:val="0"/>
          <w:divBdr>
            <w:top w:val="none" w:sz="0" w:space="0" w:color="auto"/>
            <w:left w:val="none" w:sz="0" w:space="0" w:color="auto"/>
            <w:bottom w:val="none" w:sz="0" w:space="0" w:color="auto"/>
            <w:right w:val="none" w:sz="0" w:space="0" w:color="auto"/>
          </w:divBdr>
        </w:div>
      </w:divsChild>
    </w:div>
    <w:div w:id="487748528">
      <w:bodyDiv w:val="1"/>
      <w:marLeft w:val="0"/>
      <w:marRight w:val="0"/>
      <w:marTop w:val="0"/>
      <w:marBottom w:val="0"/>
      <w:divBdr>
        <w:top w:val="none" w:sz="0" w:space="0" w:color="auto"/>
        <w:left w:val="none" w:sz="0" w:space="0" w:color="auto"/>
        <w:bottom w:val="none" w:sz="0" w:space="0" w:color="auto"/>
        <w:right w:val="none" w:sz="0" w:space="0" w:color="auto"/>
      </w:divBdr>
    </w:div>
    <w:div w:id="510532840">
      <w:bodyDiv w:val="1"/>
      <w:marLeft w:val="0"/>
      <w:marRight w:val="0"/>
      <w:marTop w:val="0"/>
      <w:marBottom w:val="0"/>
      <w:divBdr>
        <w:top w:val="none" w:sz="0" w:space="0" w:color="auto"/>
        <w:left w:val="none" w:sz="0" w:space="0" w:color="auto"/>
        <w:bottom w:val="none" w:sz="0" w:space="0" w:color="auto"/>
        <w:right w:val="none" w:sz="0" w:space="0" w:color="auto"/>
      </w:divBdr>
    </w:div>
    <w:div w:id="591284167">
      <w:bodyDiv w:val="1"/>
      <w:marLeft w:val="0"/>
      <w:marRight w:val="0"/>
      <w:marTop w:val="0"/>
      <w:marBottom w:val="0"/>
      <w:divBdr>
        <w:top w:val="none" w:sz="0" w:space="0" w:color="auto"/>
        <w:left w:val="none" w:sz="0" w:space="0" w:color="auto"/>
        <w:bottom w:val="none" w:sz="0" w:space="0" w:color="auto"/>
        <w:right w:val="none" w:sz="0" w:space="0" w:color="auto"/>
      </w:divBdr>
    </w:div>
    <w:div w:id="618686410">
      <w:bodyDiv w:val="1"/>
      <w:marLeft w:val="0"/>
      <w:marRight w:val="0"/>
      <w:marTop w:val="0"/>
      <w:marBottom w:val="0"/>
      <w:divBdr>
        <w:top w:val="none" w:sz="0" w:space="0" w:color="auto"/>
        <w:left w:val="none" w:sz="0" w:space="0" w:color="auto"/>
        <w:bottom w:val="none" w:sz="0" w:space="0" w:color="auto"/>
        <w:right w:val="none" w:sz="0" w:space="0" w:color="auto"/>
      </w:divBdr>
    </w:div>
    <w:div w:id="1020202741">
      <w:bodyDiv w:val="1"/>
      <w:marLeft w:val="0"/>
      <w:marRight w:val="0"/>
      <w:marTop w:val="0"/>
      <w:marBottom w:val="0"/>
      <w:divBdr>
        <w:top w:val="none" w:sz="0" w:space="0" w:color="auto"/>
        <w:left w:val="none" w:sz="0" w:space="0" w:color="auto"/>
        <w:bottom w:val="none" w:sz="0" w:space="0" w:color="auto"/>
        <w:right w:val="none" w:sz="0" w:space="0" w:color="auto"/>
      </w:divBdr>
    </w:div>
    <w:div w:id="1156066452">
      <w:bodyDiv w:val="1"/>
      <w:marLeft w:val="0"/>
      <w:marRight w:val="0"/>
      <w:marTop w:val="0"/>
      <w:marBottom w:val="0"/>
      <w:divBdr>
        <w:top w:val="none" w:sz="0" w:space="0" w:color="auto"/>
        <w:left w:val="none" w:sz="0" w:space="0" w:color="auto"/>
        <w:bottom w:val="none" w:sz="0" w:space="0" w:color="auto"/>
        <w:right w:val="none" w:sz="0" w:space="0" w:color="auto"/>
      </w:divBdr>
    </w:div>
    <w:div w:id="1274291052">
      <w:bodyDiv w:val="1"/>
      <w:marLeft w:val="0"/>
      <w:marRight w:val="0"/>
      <w:marTop w:val="0"/>
      <w:marBottom w:val="0"/>
      <w:divBdr>
        <w:top w:val="none" w:sz="0" w:space="0" w:color="auto"/>
        <w:left w:val="none" w:sz="0" w:space="0" w:color="auto"/>
        <w:bottom w:val="none" w:sz="0" w:space="0" w:color="auto"/>
        <w:right w:val="none" w:sz="0" w:space="0" w:color="auto"/>
      </w:divBdr>
    </w:div>
    <w:div w:id="1362972237">
      <w:bodyDiv w:val="1"/>
      <w:marLeft w:val="0"/>
      <w:marRight w:val="0"/>
      <w:marTop w:val="0"/>
      <w:marBottom w:val="0"/>
      <w:divBdr>
        <w:top w:val="none" w:sz="0" w:space="0" w:color="auto"/>
        <w:left w:val="none" w:sz="0" w:space="0" w:color="auto"/>
        <w:bottom w:val="none" w:sz="0" w:space="0" w:color="auto"/>
        <w:right w:val="none" w:sz="0" w:space="0" w:color="auto"/>
      </w:divBdr>
    </w:div>
    <w:div w:id="1376195168">
      <w:bodyDiv w:val="1"/>
      <w:marLeft w:val="0"/>
      <w:marRight w:val="0"/>
      <w:marTop w:val="0"/>
      <w:marBottom w:val="0"/>
      <w:divBdr>
        <w:top w:val="none" w:sz="0" w:space="0" w:color="auto"/>
        <w:left w:val="none" w:sz="0" w:space="0" w:color="auto"/>
        <w:bottom w:val="none" w:sz="0" w:space="0" w:color="auto"/>
        <w:right w:val="none" w:sz="0" w:space="0" w:color="auto"/>
      </w:divBdr>
    </w:div>
    <w:div w:id="1593513240">
      <w:bodyDiv w:val="1"/>
      <w:marLeft w:val="0"/>
      <w:marRight w:val="0"/>
      <w:marTop w:val="0"/>
      <w:marBottom w:val="0"/>
      <w:divBdr>
        <w:top w:val="none" w:sz="0" w:space="0" w:color="auto"/>
        <w:left w:val="none" w:sz="0" w:space="0" w:color="auto"/>
        <w:bottom w:val="none" w:sz="0" w:space="0" w:color="auto"/>
        <w:right w:val="none" w:sz="0" w:space="0" w:color="auto"/>
      </w:divBdr>
    </w:div>
    <w:div w:id="1613197456">
      <w:bodyDiv w:val="1"/>
      <w:marLeft w:val="0"/>
      <w:marRight w:val="0"/>
      <w:marTop w:val="0"/>
      <w:marBottom w:val="0"/>
      <w:divBdr>
        <w:top w:val="none" w:sz="0" w:space="0" w:color="auto"/>
        <w:left w:val="none" w:sz="0" w:space="0" w:color="auto"/>
        <w:bottom w:val="none" w:sz="0" w:space="0" w:color="auto"/>
        <w:right w:val="none" w:sz="0" w:space="0" w:color="auto"/>
      </w:divBdr>
    </w:div>
    <w:div w:id="1659724899">
      <w:bodyDiv w:val="1"/>
      <w:marLeft w:val="0"/>
      <w:marRight w:val="0"/>
      <w:marTop w:val="0"/>
      <w:marBottom w:val="0"/>
      <w:divBdr>
        <w:top w:val="none" w:sz="0" w:space="0" w:color="auto"/>
        <w:left w:val="none" w:sz="0" w:space="0" w:color="auto"/>
        <w:bottom w:val="none" w:sz="0" w:space="0" w:color="auto"/>
        <w:right w:val="none" w:sz="0" w:space="0" w:color="auto"/>
      </w:divBdr>
    </w:div>
    <w:div w:id="1672483159">
      <w:bodyDiv w:val="1"/>
      <w:marLeft w:val="0"/>
      <w:marRight w:val="0"/>
      <w:marTop w:val="0"/>
      <w:marBottom w:val="0"/>
      <w:divBdr>
        <w:top w:val="none" w:sz="0" w:space="0" w:color="auto"/>
        <w:left w:val="none" w:sz="0" w:space="0" w:color="auto"/>
        <w:bottom w:val="none" w:sz="0" w:space="0" w:color="auto"/>
        <w:right w:val="none" w:sz="0" w:space="0" w:color="auto"/>
      </w:divBdr>
    </w:div>
    <w:div w:id="1715234600">
      <w:bodyDiv w:val="1"/>
      <w:marLeft w:val="0"/>
      <w:marRight w:val="0"/>
      <w:marTop w:val="0"/>
      <w:marBottom w:val="0"/>
      <w:divBdr>
        <w:top w:val="none" w:sz="0" w:space="0" w:color="auto"/>
        <w:left w:val="none" w:sz="0" w:space="0" w:color="auto"/>
        <w:bottom w:val="none" w:sz="0" w:space="0" w:color="auto"/>
        <w:right w:val="none" w:sz="0" w:space="0" w:color="auto"/>
      </w:divBdr>
    </w:div>
    <w:div w:id="1766420591">
      <w:bodyDiv w:val="1"/>
      <w:marLeft w:val="0"/>
      <w:marRight w:val="0"/>
      <w:marTop w:val="0"/>
      <w:marBottom w:val="0"/>
      <w:divBdr>
        <w:top w:val="none" w:sz="0" w:space="0" w:color="auto"/>
        <w:left w:val="none" w:sz="0" w:space="0" w:color="auto"/>
        <w:bottom w:val="none" w:sz="0" w:space="0" w:color="auto"/>
        <w:right w:val="none" w:sz="0" w:space="0" w:color="auto"/>
      </w:divBdr>
    </w:div>
    <w:div w:id="1788892541">
      <w:bodyDiv w:val="1"/>
      <w:marLeft w:val="0"/>
      <w:marRight w:val="0"/>
      <w:marTop w:val="0"/>
      <w:marBottom w:val="0"/>
      <w:divBdr>
        <w:top w:val="none" w:sz="0" w:space="0" w:color="auto"/>
        <w:left w:val="none" w:sz="0" w:space="0" w:color="auto"/>
        <w:bottom w:val="none" w:sz="0" w:space="0" w:color="auto"/>
        <w:right w:val="none" w:sz="0" w:space="0" w:color="auto"/>
      </w:divBdr>
    </w:div>
    <w:div w:id="1809589913">
      <w:bodyDiv w:val="1"/>
      <w:marLeft w:val="0"/>
      <w:marRight w:val="0"/>
      <w:marTop w:val="0"/>
      <w:marBottom w:val="0"/>
      <w:divBdr>
        <w:top w:val="none" w:sz="0" w:space="0" w:color="auto"/>
        <w:left w:val="none" w:sz="0" w:space="0" w:color="auto"/>
        <w:bottom w:val="none" w:sz="0" w:space="0" w:color="auto"/>
        <w:right w:val="none" w:sz="0" w:space="0" w:color="auto"/>
      </w:divBdr>
    </w:div>
    <w:div w:id="1989631677">
      <w:bodyDiv w:val="1"/>
      <w:marLeft w:val="0"/>
      <w:marRight w:val="0"/>
      <w:marTop w:val="0"/>
      <w:marBottom w:val="0"/>
      <w:divBdr>
        <w:top w:val="none" w:sz="0" w:space="0" w:color="auto"/>
        <w:left w:val="none" w:sz="0" w:space="0" w:color="auto"/>
        <w:bottom w:val="none" w:sz="0" w:space="0" w:color="auto"/>
        <w:right w:val="none" w:sz="0" w:space="0" w:color="auto"/>
      </w:divBdr>
    </w:div>
    <w:div w:id="2059863900">
      <w:bodyDiv w:val="1"/>
      <w:marLeft w:val="0"/>
      <w:marRight w:val="0"/>
      <w:marTop w:val="0"/>
      <w:marBottom w:val="0"/>
      <w:divBdr>
        <w:top w:val="none" w:sz="0" w:space="0" w:color="auto"/>
        <w:left w:val="none" w:sz="0" w:space="0" w:color="auto"/>
        <w:bottom w:val="none" w:sz="0" w:space="0" w:color="auto"/>
        <w:right w:val="none" w:sz="0" w:space="0" w:color="auto"/>
      </w:divBdr>
    </w:div>
    <w:div w:id="2097971055">
      <w:bodyDiv w:val="1"/>
      <w:marLeft w:val="0"/>
      <w:marRight w:val="0"/>
      <w:marTop w:val="0"/>
      <w:marBottom w:val="0"/>
      <w:divBdr>
        <w:top w:val="none" w:sz="0" w:space="0" w:color="auto"/>
        <w:left w:val="none" w:sz="0" w:space="0" w:color="auto"/>
        <w:bottom w:val="none" w:sz="0" w:space="0" w:color="auto"/>
        <w:right w:val="none" w:sz="0" w:space="0" w:color="auto"/>
      </w:divBdr>
    </w:div>
    <w:div w:id="2115787501">
      <w:bodyDiv w:val="1"/>
      <w:marLeft w:val="0"/>
      <w:marRight w:val="0"/>
      <w:marTop w:val="0"/>
      <w:marBottom w:val="0"/>
      <w:divBdr>
        <w:top w:val="none" w:sz="0" w:space="0" w:color="auto"/>
        <w:left w:val="none" w:sz="0" w:space="0" w:color="auto"/>
        <w:bottom w:val="none" w:sz="0" w:space="0" w:color="auto"/>
        <w:right w:val="none" w:sz="0" w:space="0" w:color="auto"/>
      </w:divBdr>
    </w:div>
    <w:div w:id="2124838102">
      <w:bodyDiv w:val="1"/>
      <w:marLeft w:val="0"/>
      <w:marRight w:val="0"/>
      <w:marTop w:val="0"/>
      <w:marBottom w:val="0"/>
      <w:divBdr>
        <w:top w:val="none" w:sz="0" w:space="0" w:color="auto"/>
        <w:left w:val="none" w:sz="0" w:space="0" w:color="auto"/>
        <w:bottom w:val="none" w:sz="0" w:space="0" w:color="auto"/>
        <w:right w:val="none" w:sz="0" w:space="0" w:color="auto"/>
      </w:divBdr>
    </w:div>
    <w:div w:id="212692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ACBF9-6759-4838-BBC6-8847523F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7059</TotalTime>
  <Pages>1</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207</cp:revision>
  <dcterms:created xsi:type="dcterms:W3CDTF">2019-01-18T16:02:00Z</dcterms:created>
  <dcterms:modified xsi:type="dcterms:W3CDTF">2019-01-31T13:22:00Z</dcterms:modified>
</cp:coreProperties>
</file>