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480"/>
        <w:jc w:val="center"/>
      </w:pPr>
      <w:r>
        <w:rPr>
          <w:rFonts w:ascii="Times New Roman" w:cs="Times New Roman" w:eastAsia="Times New Roman" w:hAnsi="Times New Roman"/>
          <w:b/>
          <w:bCs/>
          <w:sz w:val="32"/>
          <w:szCs w:val="32"/>
        </w:rPr>
        <w:t xml:space="preserve">A Digital Root Anomaly in a Classical Arabic Text:</w:t>
      </w:r>
    </w:p>
    <w:p>
      <w:pPr>
        <w:spacing w:after="300" w:line="480"/>
        <w:jc w:val="center"/>
      </w:pPr>
      <w:r>
        <w:rPr>
          <w:rFonts w:ascii="Times New Roman" w:cs="Times New Roman" w:eastAsia="Times New Roman" w:hAnsi="Times New Roman"/>
          <w:b/>
          <w:bCs/>
          <w:sz w:val="32"/>
          <w:szCs w:val="32"/>
        </w:rPr>
        <w:t xml:space="preserve">Evidence from Seven Encoding Systems and Fourteen Control Texts</w:t>
      </w:r>
    </w:p>
    <w:p>
      <w:pPr>
        <w:spacing w:after="40" w:line="480"/>
        <w:jc w:val="center"/>
      </w:pPr>
      <w:r>
        <w:rPr>
          <w:rFonts w:ascii="Times New Roman" w:cs="Times New Roman" w:eastAsia="Times New Roman" w:hAnsi="Times New Roman"/>
          <w:b/>
          <w:bCs/>
          <w:sz w:val="24"/>
          <w:szCs w:val="24"/>
        </w:rPr>
        <w:t xml:space="preserve">Emad Suleiman Alwan</w:t>
      </w:r>
    </w:p>
    <w:p>
      <w:pPr>
        <w:spacing w:after="40" w:line="480"/>
        <w:jc w:val="center"/>
      </w:pPr>
      <w:r>
        <w:rPr>
          <w:rFonts w:ascii="Times New Roman" w:cs="Times New Roman" w:eastAsia="Times New Roman" w:hAnsi="Times New Roman"/>
          <w:i/>
          <w:iCs/>
          <w:sz w:val="24"/>
          <w:szCs w:val="24"/>
        </w:rPr>
        <w:t xml:space="preserve">Independent Researcher | up2b.ai | Riyadh, Saudi Arabia</w:t>
      </w:r>
    </w:p>
    <w:p>
      <w:pPr>
        <w:spacing w:after="300" w:line="480"/>
        <w:jc w:val="center"/>
      </w:pPr>
      <w:r>
        <w:rPr>
          <w:rFonts w:ascii="Times New Roman" w:cs="Times New Roman" w:eastAsia="Times New Roman" w:hAnsi="Times New Roman"/>
          <w:sz w:val="24"/>
          <w:szCs w:val="24"/>
        </w:rPr>
        <w:t xml:space="preserve">ORCID: 0009-0004-5797-6140</w:t>
      </w:r>
    </w:p>
    <w:p>
      <w:pPr>
        <w:spacing w:after="200" w:line="480"/>
        <w:jc w:val="center"/>
      </w:pPr>
      <w:r>
        <w:rPr>
          <w:rFonts w:ascii="Times New Roman" w:cs="Times New Roman" w:eastAsia="Times New Roman" w:hAnsi="Times New Roman"/>
          <w:i/>
          <w:iCs/>
          <w:sz w:val="24"/>
          <w:szCs w:val="24"/>
        </w:rPr>
        <w:t xml:space="preserve">[Draft — Introduction Section]</w:t>
      </w:r>
    </w:p>
    <w:p>
      <w:pPr>
        <w:spacing w:before="360" w:after="200" w:line="480"/>
      </w:pPr>
      <w:r>
        <w:rPr>
          <w:rFonts w:ascii="Times New Roman" w:cs="Times New Roman" w:eastAsia="Times New Roman" w:hAnsi="Times New Roman"/>
          <w:b/>
          <w:bCs/>
          <w:sz w:val="24"/>
          <w:szCs w:val="24"/>
        </w:rPr>
        <w:t xml:space="preserve">1 Introduction</w:t>
      </w:r>
    </w:p>
    <w:p>
      <w:pPr>
        <w:spacing w:after="0" w:line="480"/>
        <w:ind/>
      </w:pPr>
      <w:r>
        <w:rPr>
          <w:rFonts w:ascii="Times New Roman" w:cs="Times New Roman" w:eastAsia="Times New Roman" w:hAnsi="Times New Roman"/>
          <w:sz w:val="24"/>
          <w:szCs w:val="24"/>
        </w:rPr>
        <w:t xml:space="preserve">Computational analysis of historical texts has drawn on methods ranging from stylometry to information theory, applied to corpora as diverse as the Homeric epics, the Dead Sea Scrolls, and mediaeval manuscripts. Yet one elementary mathematical operation remains virtually unexplored as a tool of corpus analysis: the </w:t>
      </w:r>
      <w:r>
        <w:rPr>
          <w:rFonts w:ascii="Times New Roman" w:cs="Times New Roman" w:eastAsia="Times New Roman" w:hAnsi="Times New Roman"/>
          <w:i/>
          <w:iCs/>
          <w:sz w:val="24"/>
          <w:szCs w:val="24"/>
        </w:rPr>
        <w:t xml:space="preserve">digital root</w:t>
      </w:r>
      <w:r>
        <w:rPr>
          <w:rFonts w:ascii="Times New Roman" w:cs="Times New Roman" w:eastAsia="Times New Roman" w:hAnsi="Times New Roman"/>
          <w:sz w:val="24"/>
          <w:szCs w:val="24"/>
        </w:rPr>
        <w:t xml:space="preserve">. The digital root of any positive integer is the single digit obtained by iterative digit summation (equivalently, DR(</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 mod 9)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&gt; 0). When letters in a text are first mapped to numerical values and then reduced to their digital roots, each word collapses to one of nine categories. The subset {3, 6, 9} — the residue class ≡ 0 (mod 3) — is the only subset of {1, …, 9} that is closed under digital-root addition, giving it a distinguished algebraic status.</w:t>
      </w:r>
    </w:p>
    <w:p>
      <w:pPr>
        <w:spacing w:after="0" w:line="480"/>
        <w:ind w:firstLine="720"/>
      </w:pPr>
      <w:r>
        <w:rPr>
          <w:rFonts w:ascii="Times New Roman" w:cs="Times New Roman" w:eastAsia="Times New Roman" w:hAnsi="Times New Roman"/>
          <w:sz w:val="24"/>
          <w:szCs w:val="24"/>
        </w:rPr>
        <w:t xml:space="preserve">This paper asks whether any natural-language text produces a statistically anomalous concentration of digital roots in {3, 6, 9}, and if so, under what conditions. We examine one text in particular: the Quran (78,248 words, 114 Surahs, Hafs reading in Uthmani orthography). We test it against fourteen control texts spanning two languages, five genres, and three centuries. The central finding is not merely that the Quran shows a {3, 6, 9} bias — but that it does so under </w:t>
      </w:r>
      <w:r>
        <w:rPr>
          <w:rFonts w:ascii="Times New Roman" w:cs="Times New Roman" w:eastAsia="Times New Roman" w:hAnsi="Times New Roman"/>
          <w:i/>
          <w:iCs/>
          <w:sz w:val="24"/>
          <w:szCs w:val="24"/>
        </w:rPr>
        <w:t xml:space="preserve">exactly one</w:t>
      </w:r>
      <w:r>
        <w:rPr>
          <w:rFonts w:ascii="Times New Roman" w:cs="Times New Roman" w:eastAsia="Times New Roman" w:hAnsi="Times New Roman"/>
          <w:sz w:val="24"/>
          <w:szCs w:val="24"/>
        </w:rPr>
        <w:t xml:space="preserve"> of the seven encoding systems we tested. This selectivity is, in some respects, more remarkable than the bias itself.</w:t>
      </w:r>
    </w:p>
    <w:p>
      <w:pPr>
        <w:spacing w:before="240" w:after="180" w:line="480"/>
      </w:pPr>
      <w:r>
        <w:rPr>
          <w:rFonts w:ascii="Times New Roman" w:cs="Times New Roman" w:eastAsia="Times New Roman" w:hAnsi="Times New Roman"/>
          <w:i/>
          <w:iCs/>
          <w:sz w:val="24"/>
          <w:szCs w:val="24"/>
        </w:rPr>
        <w:t xml:space="preserve">1.1 Prior work on numerical analysis of the Quran</w:t>
      </w:r>
    </w:p>
    <w:p>
      <w:pPr>
        <w:spacing w:after="0" w:line="480"/>
        <w:ind/>
      </w:pPr>
      <w:r>
        <w:rPr>
          <w:rFonts w:ascii="Times New Roman" w:cs="Times New Roman" w:eastAsia="Times New Roman" w:hAnsi="Times New Roman"/>
          <w:sz w:val="24"/>
          <w:szCs w:val="24"/>
        </w:rPr>
        <w:t xml:space="preserve">The numerical study of the Quran has a complex and occasionally contentious history. Khalifa (1974) proposed the ‘Code 19’ theory, claiming that the number 19 governs the frequency of specific letters and words throughout the text. The proposal attracted widespread attention but was criticised for selective data reporting and post-hoc hypothesis formation (Dundes 1985; Edis 1998). Al-Faqih (2017) derived a ‘Quran Constant’ from Abjad values and connected it to the golden ratio, but relied on a single encoding system and did not test against a null model. Abdulaziz (2018) introduced greater mathematical detail but remained confined to one system without cross-text controls. More recently, Uyar (2025) compiled various numerical regularities without applying inferential statistics.</w:t>
      </w:r>
    </w:p>
    <w:p>
      <w:pPr>
        <w:spacing w:after="0" w:line="480"/>
        <w:ind w:firstLine="720"/>
      </w:pPr>
      <w:r>
        <w:rPr>
          <w:rFonts w:ascii="Times New Roman" w:cs="Times New Roman" w:eastAsia="Times New Roman" w:hAnsi="Times New Roman"/>
          <w:sz w:val="24"/>
          <w:szCs w:val="24"/>
        </w:rPr>
        <w:t xml:space="preserve">These approaches, whatever their individual merits, share three methodological limitations that prevent their findings from being evaluated by the standards of quantitative corpus science. First, they rely on a single letter-to-number mapping (Abjad gematria), leaving open the possibility that any observed pattern is an artifact of the encoding rather than a property of the text. Second, they rarely test findings against control texts of comparable length, genre, or language, making it impossible to distinguish text-specific patterns from language-wide regularities. Third, they seldom employ a rigorous statistical framework — explicit null hypotheses, permutation tests, effect sizes, multiple-comparison corrections — that would allow their claims to be independently adjudicated.</w:t>
      </w:r>
    </w:p>
    <w:p>
      <w:pPr>
        <w:spacing w:before="240" w:after="180" w:line="480"/>
      </w:pPr>
      <w:r>
        <w:rPr>
          <w:rFonts w:ascii="Times New Roman" w:cs="Times New Roman" w:eastAsia="Times New Roman" w:hAnsi="Times New Roman"/>
          <w:i/>
          <w:iCs/>
          <w:sz w:val="24"/>
          <w:szCs w:val="24"/>
        </w:rPr>
        <w:t xml:space="preserve">1.2 The present study</w:t>
      </w:r>
    </w:p>
    <w:p>
      <w:pPr>
        <w:spacing w:after="0" w:line="480"/>
        <w:ind/>
      </w:pPr>
      <w:r>
        <w:rPr>
          <w:rFonts w:ascii="Times New Roman" w:cs="Times New Roman" w:eastAsia="Times New Roman" w:hAnsi="Times New Roman"/>
          <w:sz w:val="24"/>
          <w:szCs w:val="24"/>
        </w:rPr>
        <w:t xml:space="preserve">This paper introduces a methodology that addresses all three limitations simultaneously. Rather than searching for specific divisibility patterns or counting the frequency of individual numbers, we examine the </w:t>
      </w:r>
      <w:r>
        <w:rPr>
          <w:rFonts w:ascii="Times New Roman" w:cs="Times New Roman" w:eastAsia="Times New Roman" w:hAnsi="Times New Roman"/>
          <w:i/>
          <w:iCs/>
          <w:sz w:val="24"/>
          <w:szCs w:val="24"/>
        </w:rPr>
        <w:t xml:space="preserve">statistical distribution</w:t>
      </w:r>
      <w:r>
        <w:rPr>
          <w:rFonts w:ascii="Times New Roman" w:cs="Times New Roman" w:eastAsia="Times New Roman" w:hAnsi="Times New Roman"/>
          <w:sz w:val="24"/>
          <w:szCs w:val="24"/>
        </w:rPr>
        <w:t xml:space="preserve"> of digital roots across {1, …, 9} and test whether the subset {3, 6, 9} is over-represented relative to the chance expectation of 33.3%.</w:t>
      </w:r>
    </w:p>
    <w:p>
      <w:pPr>
        <w:spacing w:after="0" w:line="480"/>
        <w:ind w:firstLine="720"/>
      </w:pPr>
      <w:r>
        <w:rPr>
          <w:rFonts w:ascii="Times New Roman" w:cs="Times New Roman" w:eastAsia="Times New Roman" w:hAnsi="Times New Roman"/>
          <w:b/>
          <w:bCs/>
          <w:sz w:val="24"/>
          <w:szCs w:val="24"/>
        </w:rPr>
        <w:t xml:space="preserve">Multi-system design. </w:t>
      </w:r>
      <w:r>
        <w:rPr>
          <w:rFonts w:ascii="Times New Roman" w:cs="Times New Roman" w:eastAsia="Times New Roman" w:hAnsi="Times New Roman"/>
          <w:sz w:val="24"/>
          <w:szCs w:val="24"/>
        </w:rPr>
        <w:t xml:space="preserve">We test seven structurally independent encoding systems: (1) classical Abjad (Mashriqi, ة = 5); (2) Abjad (Maghrebi variant, different letter-value assignments for ص–غ); (3) Special-6 (an original binary-based system mapping 33 letter shapes to unique values); (4) powers-of-2 encoding; (5) Fibonacci-sequence encoding; (6) prime-number encoding; and (7) a modified Special-6 with a single perturbation (ا = 2 instead of 1). The critical finding: </w:t>
      </w:r>
      <w:r>
        <w:rPr>
          <w:rFonts w:ascii="Times New Roman" w:cs="Times New Roman" w:eastAsia="Times New Roman" w:hAnsi="Times New Roman"/>
          <w:i/>
          <w:iCs/>
          <w:sz w:val="24"/>
          <w:szCs w:val="24"/>
        </w:rPr>
        <w:t xml:space="preserve">only one of these seven systems</w:t>
      </w:r>
      <w:r>
        <w:rPr>
          <w:rFonts w:ascii="Times New Roman" w:cs="Times New Roman" w:eastAsia="Times New Roman" w:hAnsi="Times New Roman"/>
          <w:sz w:val="24"/>
          <w:szCs w:val="24"/>
        </w:rPr>
        <w:t xml:space="preserve"> — Special-6 — produces a statistically significant {3, 6, 9} bias at the Surah level (p = 0.007). The other six, including the ancient Abjad system, do not. This selectivity is not a weakness of the claim but its sharpest edge: the anomaly is not a trivial consequence of assigning numbers to letters, because six other ways of doing so yield nothing.</w:t>
      </w:r>
    </w:p>
    <w:p>
      <w:pPr>
        <w:spacing w:after="0" w:line="480"/>
        <w:ind w:firstLine="720"/>
      </w:pPr>
      <w:r>
        <w:rPr>
          <w:rFonts w:ascii="Times New Roman" w:cs="Times New Roman" w:eastAsia="Times New Roman" w:hAnsi="Times New Roman"/>
          <w:b/>
          <w:bCs/>
          <w:sz w:val="24"/>
          <w:szCs w:val="24"/>
        </w:rPr>
        <w:t xml:space="preserve">Stress test. </w:t>
      </w:r>
      <w:r>
        <w:rPr>
          <w:rFonts w:ascii="Times New Roman" w:cs="Times New Roman" w:eastAsia="Times New Roman" w:hAnsi="Times New Roman"/>
          <w:sz w:val="24"/>
          <w:szCs w:val="24"/>
        </w:rPr>
        <w:t xml:space="preserve">To quantify the rarity of this selectivity, we generated 10,000 random encoding systems (each assigning arbitrary values to the 33 letter shapes) and tested each against the Quran. Only 68 of 10,000 produced a {3, 6, 9} proportion at or above the observed 44.7%, yielding an empirical p-value of 0.0068. The Quran’s response to random encodings is thus itself non-random.</w:t>
      </w:r>
    </w:p>
    <w:p>
      <w:pPr>
        <w:spacing w:after="0" w:line="480"/>
        <w:ind w:firstLine="720"/>
      </w:pPr>
      <w:r>
        <w:t>Fourteen control texts. We test the Quran against fourteen comparison texts: four classical Arabic texts (Sahih al-Bukhari, Ibn Arabi’s Futuhat al-Makkiyya, the pre-Islamic Mu’allaqat, and the Quran with shuffled word order), the Hebrew Torah (in original Hebrew with standard gematria), four translations of the Quran (English, Turkish, Persian, and Hebrew, each tested under its own Abjad-equivalent mapping), and five additional structural controls (equal-length partitions, random partitions, within-Surah word shuffle, verse-count fingerprint, and leave-one-out analysis). No control text, in any language, shows the pattern.</w:t>
      </w:r>
    </w:p>
    <w:p>
      <w:pPr>
        <w:spacing w:after="0" w:line="480"/>
        <w:ind w:firstLine="720"/>
      </w:pPr>
      <w:r>
        <w:t>Translation barrier. A distinctive feature of this study is the translation experiment. When the Quran is translated from Arabic into English, Turkish, Persian, or Hebrew and each translation is analysed under an analogous letter-to-number mapping for its target alphabet, the {3, 6, 9} bias vanishes entirely (all p &gt; 0.10). The anomaly does not survive translation. It is bound to the Arabic consonantal text — not to the meaning, syntax, or theological content.</w:t>
      </w:r>
    </w:p>
    <w:p>
      <w:pPr>
        <w:spacing w:before="240" w:after="180" w:line="480"/>
      </w:pPr>
      <w:r>
        <w:rPr>
          <w:rFonts w:ascii="Times New Roman" w:cs="Times New Roman" w:eastAsia="Times New Roman" w:hAnsi="Times New Roman"/>
          <w:i/>
          <w:iCs/>
          <w:sz w:val="24"/>
          <w:szCs w:val="24"/>
        </w:rPr>
        <w:t xml:space="preserve">1.3 The selectivity puzzle</w:t>
      </w:r>
    </w:p>
    <w:p>
      <w:pPr>
        <w:spacing w:after="0" w:line="480"/>
        <w:ind/>
      </w:pPr>
      <w:r>
        <w:rPr>
          <w:rFonts w:ascii="Times New Roman" w:cs="Times New Roman" w:eastAsia="Times New Roman" w:hAnsi="Times New Roman"/>
          <w:sz w:val="24"/>
          <w:szCs w:val="24"/>
        </w:rPr>
        <w:t xml:space="preserve">The most unexpected result of this study is not that a pattern exists, but that it is so narrowly conditioned. Six structurally plausible encoding systems fail to detect it. Four faithful translations erase it. Shuffling the word order destroys it (p = 0.185). Dividing the same words into equal-length chunks rather than Surahs eliminates it (p = 0.137). Even changing a </w:t>
      </w:r>
      <w:r>
        <w:rPr>
          <w:rFonts w:ascii="Times New Roman" w:cs="Times New Roman" w:eastAsia="Times New Roman" w:hAnsi="Times New Roman"/>
          <w:i/>
          <w:iCs/>
          <w:sz w:val="24"/>
          <w:szCs w:val="24"/>
        </w:rPr>
        <w:t xml:space="preserve">single letter value</w:t>
      </w:r>
      <w:r>
        <w:rPr>
          <w:rFonts w:ascii="Times New Roman" w:cs="Times New Roman" w:eastAsia="Times New Roman" w:hAnsi="Times New Roman"/>
          <w:sz w:val="24"/>
          <w:szCs w:val="24"/>
        </w:rPr>
        <w:t xml:space="preserve"> in the encoding — setting ا = 2 instead of 1 in Special-6 — breaks the signal. The anomaly exists at the intersection of a specific encoding, a specific word order, and a specific partitioning. Remove any one of these three conditions, and the signal disappears.</w:t>
      </w:r>
    </w:p>
    <w:p>
      <w:pPr>
        <w:spacing w:after="0" w:line="480"/>
        <w:ind w:firstLine="720"/>
      </w:pPr>
      <w:r>
        <w:rPr>
          <w:rFonts w:ascii="Times New Roman" w:cs="Times New Roman" w:eastAsia="Times New Roman" w:hAnsi="Times New Roman"/>
          <w:sz w:val="24"/>
          <w:szCs w:val="24"/>
        </w:rPr>
        <w:t xml:space="preserve">This narrow specificity raises the evidential bar in both directions. On one hand, it makes the finding harder to dismiss as a statistical fluke: flukes do not survive the elimination of six alternative encodings, fourteen control texts, and four translations. On the other hand, it makes the finding harder to explain: if the pattern were a simple consequence of Arabic morphology or the length distribution of Surahs, it should appear under multiple encodings, not exclusively one. We do not resolve this puzzle in this paper. We document it.</w:t>
      </w:r>
    </w:p>
    <w:p>
      <w:pPr>
        <w:spacing w:before="240" w:after="180" w:line="480"/>
      </w:pPr>
      <w:r>
        <w:rPr>
          <w:rFonts w:ascii="Times New Roman" w:cs="Times New Roman" w:eastAsia="Times New Roman" w:hAnsi="Times New Roman"/>
          <w:i/>
          <w:iCs/>
          <w:sz w:val="24"/>
          <w:szCs w:val="24"/>
        </w:rPr>
        <w:t xml:space="preserve">1.4 Contribution and scope</w:t>
      </w:r>
    </w:p>
    <w:p>
      <w:pPr>
        <w:spacing w:after="0" w:line="480"/>
        <w:ind/>
      </w:pPr>
      <w:r>
        <w:rPr>
          <w:rFonts w:ascii="Times New Roman" w:cs="Times New Roman" w:eastAsia="Times New Roman" w:hAnsi="Times New Roman"/>
          <w:sz w:val="24"/>
          <w:szCs w:val="24"/>
        </w:rPr>
        <w:t xml:space="preserve">To our knowledge, this is the first study to: (a) test a single sacred text under seven independent encoding systems and report that only one yields significance; (b) validate the finding against fourteen control texts across two languages; (c) demonstrate that translation into four languages destroys the signal; (d) stress-test the result against 10,000 randomly generated encodings; and (e) identify the anomaly as conditioned on a specific encoding–order–partition triple.</w:t>
      </w:r>
    </w:p>
    <w:p>
      <w:pPr>
        <w:spacing w:after="0" w:line="480"/>
        <w:ind w:firstLine="720"/>
      </w:pPr>
      <w:r>
        <w:rPr>
          <w:rFonts w:ascii="Times New Roman" w:cs="Times New Roman" w:eastAsia="Times New Roman" w:hAnsi="Times New Roman"/>
          <w:sz w:val="24"/>
          <w:szCs w:val="24"/>
        </w:rPr>
        <w:t xml:space="preserve">We make no theological, causal, or intentional-design claim. We report a statistical observation: under a specific encoding, the Quran’s digital root distribution departs significantly from chance in a way that no other text we have tested replicates. The question of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this structure exists — whether it is a consequence of Arabic phonology, oral-performative constraints, vocabulary distribution, or something else entirely — is outside the scope of statistical testing and is left as an open question for future investigation.</w:t>
      </w:r>
    </w:p>
    <w:p>
      <w:pPr>
        <w:spacing w:before="240" w:after="180" w:line="480"/>
      </w:pPr>
      <w:r>
        <w:rPr>
          <w:rFonts w:ascii="Times New Roman" w:cs="Times New Roman" w:eastAsia="Times New Roman" w:hAnsi="Times New Roman"/>
          <w:i/>
          <w:iCs/>
          <w:sz w:val="24"/>
          <w:szCs w:val="24"/>
        </w:rPr>
        <w:t xml:space="preserve">1.5 Organisation of this paper</w:t>
      </w:r>
    </w:p>
    <w:p>
      <w:pPr>
        <w:spacing w:after="0" w:line="480"/>
        <w:ind/>
      </w:pPr>
      <w:r>
        <w:rPr>
          <w:rFonts w:ascii="Times New Roman" w:cs="Times New Roman" w:eastAsia="Times New Roman" w:hAnsi="Times New Roman"/>
          <w:sz w:val="24"/>
          <w:szCs w:val="24"/>
        </w:rPr>
        <w:t xml:space="preserve">The remainder of this paper is organised as follows. Section 2 describes the data sources, encoding systems, and statistical methods. Section 3 presents results across four investigative axes: encoding selectivity (which systems detect the anomaly), text specificity (which texts carry it), structural dependence (which arrangements preserve it), and translational opacity (which languages lose it). Section 4 discusses implications, limitations, six hypotheses that were falsified during the study, and directions for future work. Section 5 concludes.</w:t>
      </w:r>
    </w:p>
    <w:p>
      <w:r>
        <w:br w:type="page"/>
      </w:r>
    </w:p>
    <w:p>
      <w:pPr>
        <w:spacing w:before="360" w:after="200" w:line="480"/>
      </w:pPr>
      <w:r>
        <w:rPr>
          <w:rFonts w:ascii="Times New Roman" w:cs="Times New Roman" w:eastAsia="Times New Roman" w:hAnsi="Times New Roman"/>
          <w:b/>
          <w:bCs/>
          <w:sz w:val="24"/>
          <w:szCs w:val="24"/>
        </w:rPr>
        <w:t xml:space="preserve">2 Data and Methods</w:t>
      </w:r>
    </w:p>
    <w:p>
      <w:pPr>
        <w:spacing w:after="0" w:line="480"/>
        <w:ind/>
      </w:pPr>
      <w:r>
        <w:rPr>
          <w:rFonts w:ascii="Times New Roman" w:cs="Times New Roman" w:eastAsia="Times New Roman" w:hAnsi="Times New Roman"/>
          <w:i/>
          <w:iCs/>
          <w:sz w:val="24"/>
          <w:szCs w:val="24"/>
        </w:rPr>
        <w:t xml:space="preserve">[To be drafted in a subsequent session.]</w:t>
      </w:r>
    </w:p>
    <w:p>
      <w:pPr>
        <w:spacing w:before="360" w:after="200" w:line="480"/>
      </w:pPr>
      <w:r>
        <w:rPr>
          <w:rFonts w:ascii="Times New Roman" w:cs="Times New Roman" w:eastAsia="Times New Roman" w:hAnsi="Times New Roman"/>
          <w:b/>
          <w:bCs/>
          <w:sz w:val="24"/>
          <w:szCs w:val="24"/>
        </w:rPr>
        <w:t xml:space="preserve">References</w:t>
      </w:r>
    </w:p>
    <w:p>
      <w:pPr>
        <w:spacing w:after="0" w:line="480"/>
        <w:ind/>
      </w:pPr>
      <w:r>
        <w:rPr>
          <w:rFonts w:ascii="Times New Roman" w:cs="Times New Roman" w:eastAsia="Times New Roman" w:hAnsi="Times New Roman"/>
          <w:sz w:val="24"/>
          <w:szCs w:val="24"/>
        </w:rPr>
        <w:t xml:space="preserve">Abdulaziz, A. (2018). The Quran: A Mathematically Structured Book. Journal of the International Community of Islam in the West.</w:t>
      </w:r>
    </w:p>
    <w:p>
      <w:pPr>
        <w:spacing w:after="0" w:line="480"/>
        <w:ind/>
      </w:pPr>
      <w:r>
        <w:rPr>
          <w:rFonts w:ascii="Times New Roman" w:cs="Times New Roman" w:eastAsia="Times New Roman" w:hAnsi="Times New Roman"/>
          <w:sz w:val="24"/>
          <w:szCs w:val="24"/>
        </w:rPr>
        <w:t xml:space="preserve">Al-Faqih, K. M. S. (2017). A Mathematical Phenomenon in the Quran of Earth-Shattering Proportions. Journal of Arts and Humanities, 6(6), 52–73.</w:t>
      </w:r>
    </w:p>
    <w:p>
      <w:pPr>
        <w:spacing w:after="0" w:line="480"/>
        <w:ind/>
      </w:pPr>
      <w:r>
        <w:rPr>
          <w:rFonts w:ascii="Times New Roman" w:cs="Times New Roman" w:eastAsia="Times New Roman" w:hAnsi="Times New Roman"/>
          <w:sz w:val="24"/>
          <w:szCs w:val="24"/>
        </w:rPr>
        <w:t xml:space="preserve">Dundes, A. (1985). The number 19 in the Quran. Journal of the Royal Asiatic Society, 117(2), 124–131.</w:t>
      </w:r>
    </w:p>
    <w:p>
      <w:pPr>
        <w:spacing w:after="0" w:line="480"/>
        <w:ind/>
      </w:pPr>
      <w:r>
        <w:rPr>
          <w:rFonts w:ascii="Times New Roman" w:cs="Times New Roman" w:eastAsia="Times New Roman" w:hAnsi="Times New Roman"/>
          <w:sz w:val="24"/>
          <w:szCs w:val="24"/>
        </w:rPr>
        <w:t xml:space="preserve">Edis, T. (1998). Quran-code: numerology and Quranic studies. The Skeptical Inquirer.</w:t>
      </w:r>
    </w:p>
    <w:p>
      <w:pPr>
        <w:spacing w:after="0" w:line="480"/>
        <w:ind/>
      </w:pPr>
      <w:r>
        <w:rPr>
          <w:rFonts w:ascii="Times New Roman" w:cs="Times New Roman" w:eastAsia="Times New Roman" w:hAnsi="Times New Roman"/>
          <w:sz w:val="24"/>
          <w:szCs w:val="24"/>
        </w:rPr>
        <w:t xml:space="preserve">Khalifa, R. (1974). Miracle of the Quran: Significance of the Mysterious Alphabets. Islamic Productions.</w:t>
      </w:r>
    </w:p>
    <w:p>
      <w:pPr>
        <w:spacing w:after="0" w:line="480"/>
        <w:ind/>
      </w:pPr>
      <w:r>
        <w:t>Uyar, M. (2025). Numerical Regularities in the Quran: A Descriptive Compilation. Unpublished manuscript.</w:t>
      </w:r>
    </w:p>
    <w:p>
      <w:pPr>
        <w:spacing w:after="0" w:line="480"/>
        <w:ind/>
      </w:pPr>
      <w:r>
        <w:rPr>
          <w:rFonts w:ascii="Times New Roman" w:cs="Times New Roman" w:eastAsia="Times New Roman" w:hAnsi="Times New Roman"/>
          <w:sz w:val="24"/>
          <w:szCs w:val="24"/>
        </w:rPr>
        <w:t xml:space="preserve">Alwan, E. S. (2026a). "Digital Root Transformation Map of the Quran (G14)." Zenodo. DOI: 10.5281/zenodo.19041960.</w:t>
      </w:r>
    </w:p>
    <w:p>
      <w:pPr>
        <w:spacing w:after="0" w:line="480"/>
        <w:ind/>
      </w:pPr>
      <w:r>
        <w:rPr>
          <w:rFonts w:ascii="Times New Roman" w:cs="Times New Roman" w:eastAsia="Times New Roman" w:hAnsi="Times New Roman"/>
          <w:sz w:val="24"/>
          <w:szCs w:val="24"/>
        </w:rPr>
        <w:t xml:space="preserve">Alwan, E. S. (2026b). "Digital Root in Word Repetition." Zenodo. DOI: 10.5281/zenodo.19055332.</w:t>
      </w:r>
    </w:p>
    <w:p>
      <w:pPr>
        <w:spacing w:after="0" w:line="480"/>
        <w:ind/>
      </w:pPr>
      <w:r>
        <w:rPr>
          <w:rFonts w:ascii="Times New Roman" w:cs="Times New Roman" w:eastAsia="Times New Roman" w:hAnsi="Times New Roman"/>
          <w:sz w:val="24"/>
          <w:szCs w:val="24"/>
        </w:rPr>
        <w:t xml:space="preserve">Alwan, E. S. (2026c). "System-Independent Validation via Special-6." Zenodo. DOI: 10.5281/zenodo.19073919.</w:t>
      </w:r>
    </w:p>
    <w:p>
      <w:pPr>
        <w:spacing w:after="0" w:line="480"/>
        <w:ind/>
      </w:pPr>
      <w:r>
        <w:rPr>
          <w:rFonts w:ascii="Times New Roman" w:cs="Times New Roman" w:eastAsia="Times New Roman" w:hAnsi="Times New Roman"/>
          <w:sz w:val="24"/>
          <w:szCs w:val="24"/>
        </w:rPr>
        <w:t xml:space="preserve">Alwan, E. S. (2026d). "Cross-Text Validation and Leave-One-Out Analysis." Zenodo. DOI: 10.5281/zenodo.19079630.</w:t>
      </w:r>
    </w:p>
    <w:p>
      <w:pPr>
        <w:spacing w:after="0" w:line="480"/>
        <w:ind/>
      </w:pPr>
      <w:r>
        <w:rPr>
          <w:rFonts w:ascii="Times New Roman" w:cs="Times New Roman" w:eastAsia="Times New Roman" w:hAnsi="Times New Roman"/>
          <w:sz w:val="24"/>
          <w:szCs w:val="24"/>
        </w:rPr>
        <w:t xml:space="preserve">Alwan, E. S. (2026e). "The Comprehensive Digital Root Fingerprint of the Quran." Zenodo. DOI: 10.5281/zenodo.19176486.</w:t>
      </w:r>
    </w:p>
    <w:p>
      <w:pPr>
        <w:spacing w:after="0" w:line="480"/>
        <w:ind/>
      </w:pPr>
      <w:r>
        <w:rPr>
          <w:rFonts w:ascii="Times New Roman" w:cs="Times New Roman" w:eastAsia="Times New Roman" w:hAnsi="Times New Roman"/>
          <w:sz w:val="24"/>
          <w:szCs w:val="24"/>
        </w:rPr>
        <w:t xml:space="preserve">Alwan, E. S. (2026f). "Translation Fingerprint: Five Languages, Nine Texts." Zenodo. DOI: 10.5281/zenodo.19181803.</w:t>
      </w:r>
    </w:p>
    <w:p>
      <w:pPr>
        <w:spacing w:after="0" w:line="480"/>
        <w:ind/>
      </w:pPr>
      <w:r>
        <w:rPr>
          <w:rFonts w:ascii="Times New Roman" w:cs="Times New Roman" w:eastAsia="Times New Roman" w:hAnsi="Times New Roman"/>
          <w:sz w:val="24"/>
          <w:szCs w:val="24"/>
        </w:rPr>
        <w:t xml:space="preserve">Alwan, E. S. (2026g). "Corrigendum, Independent Verification, and Related Work Survey." Zenodo. DOI: 10.5281/zenodo.19212494.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2026-03-26T14:08:54.164Z</dcterms:created>
  <dcterms:modified xsi:type="dcterms:W3CDTF">2026-03-26T14:08:54.165Z</dcterms:modified>
</cp:coreProperties>
</file>

<file path=docProps/custom.xml><?xml version="1.0" encoding="utf-8"?>
<Properties xmlns="http://schemas.openxmlformats.org/officeDocument/2006/custom-properties" xmlns:vt="http://schemas.openxmlformats.org/officeDocument/2006/docPropsVTypes"/>
</file>