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Information, Education and Communication about Healthcare Needs</w:t>
      </w:r>
    </w:p>
    <w:p>
      <w:pPr>
        <w:spacing w:after="300"/>
        <w:jc w:val="center"/>
      </w:pPr>
      <w:r>
        <w:rPr>
          <w:i/>
          <w:iCs/>
          <w:sz w:val="20"/>
          <w:szCs w:val="20"/>
        </w:rPr>
        <w:t xml:space="preserve">(Mandatory System Documentation as per NABH SHCO 3rd Edition — PRE.4.a, PRE.4.b, PRE.4.c, PRE.4.d, PRE.4.e, PRE.4.f)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HMP/PRE/POL-4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PRE.4.a, PRE.4.b, PRE.4.c, PRE.4.d, PRE.4.e, PRE.4.f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PRE</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PRE.4.a</w:t>
            </w:r>
          </w:p>
        </w:tc>
        <w:tc>
          <w:tcPr>
            <w:tcW w:type="pct" w:w="45%"/>
          </w:tcPr>
          <w:p>
            <w:r>
              <w:rPr>
                <w:b w:val="false"/>
                <w:bCs w:val="false"/>
                <w:sz w:val="18"/>
                <w:szCs w:val="18"/>
              </w:rPr>
              <w:t xml:space="preserve">Patient and/or family are educated in a language and format that they can understand.</w:t>
            </w:r>
          </w:p>
        </w:tc>
        <w:tc>
          <w:tcPr>
            <w:tcW w:type="pct" w:w="20%"/>
          </w:tcPr>
          <w:p>
            <w:r>
              <w:rPr>
                <w:b w:val="false"/>
                <w:bCs w:val="false"/>
                <w:sz w:val="18"/>
                <w:szCs w:val="18"/>
              </w:rPr>
              <w:t xml:space="preserve">Steps 1, 6, 7</w:t>
            </w:r>
          </w:p>
        </w:tc>
        <w:tc>
          <w:tcPr>
            <w:tcW w:type="pct" w:w="20%"/>
          </w:tcPr>
          <w:p>
            <w:r>
              <w:rPr>
                <w:b w:val="false"/>
                <w:bCs w:val="false"/>
                <w:sz w:val="18"/>
                <w:szCs w:val="18"/>
              </w:rPr>
              <w:t xml:space="preserve">Named lead holds the language-and-format method; staff who teach apply it; quality or accreditation coordinator audits</w:t>
            </w:r>
          </w:p>
        </w:tc>
      </w:tr>
      <w:tr>
        <w:tc>
          <w:tcPr>
            <w:tcW w:type="pct" w:w="15%"/>
          </w:tcPr>
          <w:p>
            <w:r>
              <w:rPr>
                <w:b w:val="false"/>
                <w:bCs w:val="false"/>
                <w:sz w:val="18"/>
                <w:szCs w:val="18"/>
              </w:rPr>
              <w:t xml:space="preserve">PRE.4.b</w:t>
            </w:r>
          </w:p>
        </w:tc>
        <w:tc>
          <w:tcPr>
            <w:tcW w:type="pct" w:w="45%"/>
          </w:tcPr>
          <w:p>
            <w:r>
              <w:rPr>
                <w:b w:val="false"/>
                <w:bCs w:val="false"/>
                <w:sz w:val="18"/>
                <w:szCs w:val="18"/>
              </w:rPr>
              <w:t xml:space="preserve">Patient and/or family are educated about the safe and effective use of medication and the potential side effects of the medication, when appropriate.</w:t>
            </w:r>
          </w:p>
        </w:tc>
        <w:tc>
          <w:tcPr>
            <w:tcW w:type="pct" w:w="20%"/>
          </w:tcPr>
          <w:p>
            <w:r>
              <w:rPr>
                <w:b w:val="false"/>
                <w:bCs w:val="false"/>
                <w:sz w:val="18"/>
                <w:szCs w:val="18"/>
              </w:rPr>
              <w:t xml:space="preserve">Steps 2, 6, 7</w:t>
            </w:r>
          </w:p>
        </w:tc>
        <w:tc>
          <w:tcPr>
            <w:tcW w:type="pct" w:w="20%"/>
          </w:tcPr>
          <w:p>
            <w:r>
              <w:rPr>
                <w:b w:val="false"/>
                <w:bCs w:val="false"/>
                <w:sz w:val="18"/>
                <w:szCs w:val="18"/>
              </w:rPr>
              <w:t xml:space="preserve">Staff who start or change a medicine teach; MOM.6/MOM.7 own administration and event capture; quality or accreditation coordinator audits</w:t>
            </w:r>
          </w:p>
        </w:tc>
      </w:tr>
      <w:tr>
        <w:tc>
          <w:tcPr>
            <w:tcW w:type="pct" w:w="15%"/>
          </w:tcPr>
          <w:p>
            <w:r>
              <w:rPr>
                <w:b w:val="false"/>
                <w:bCs w:val="false"/>
                <w:sz w:val="18"/>
                <w:szCs w:val="18"/>
              </w:rPr>
              <w:t xml:space="preserve">PRE.4.c</w:t>
            </w:r>
          </w:p>
        </w:tc>
        <w:tc>
          <w:tcPr>
            <w:tcW w:type="pct" w:w="45%"/>
          </w:tcPr>
          <w:p>
            <w:r>
              <w:rPr>
                <w:b w:val="false"/>
                <w:bCs w:val="false"/>
                <w:sz w:val="18"/>
                <w:szCs w:val="18"/>
              </w:rPr>
              <w:t xml:space="preserve">Patient and/or family are educated about food-drug interaction and about diet, nutrition and immunisations.</w:t>
            </w:r>
          </w:p>
        </w:tc>
        <w:tc>
          <w:tcPr>
            <w:tcW w:type="pct" w:w="20%"/>
          </w:tcPr>
          <w:p>
            <w:r>
              <w:rPr>
                <w:b w:val="false"/>
                <w:bCs w:val="false"/>
                <w:sz w:val="18"/>
                <w:szCs w:val="18"/>
              </w:rPr>
              <w:t xml:space="preserve">Steps 3, 6, 7</w:t>
            </w:r>
          </w:p>
        </w:tc>
        <w:tc>
          <w:tcPr>
            <w:tcW w:type="pct" w:w="20%"/>
          </w:tcPr>
          <w:p>
            <w:r>
              <w:rPr>
                <w:b w:val="false"/>
                <w:bCs w:val="false"/>
                <w:sz w:val="18"/>
                <w:szCs w:val="18"/>
              </w:rPr>
              <w:t xml:space="preserve">Staff who teach diet or immunisation apply the method; COP.13/COP.8/HIC.3 own those clinical and kitchen acts; quality or accreditation coordinator audits</w:t>
            </w:r>
          </w:p>
        </w:tc>
      </w:tr>
      <w:tr>
        <w:tc>
          <w:tcPr>
            <w:tcW w:type="pct" w:w="15%"/>
          </w:tcPr>
          <w:p>
            <w:r>
              <w:rPr>
                <w:b w:val="false"/>
                <w:bCs w:val="false"/>
                <w:sz w:val="18"/>
                <w:szCs w:val="18"/>
              </w:rPr>
              <w:t xml:space="preserve">PRE.4.d</w:t>
            </w:r>
          </w:p>
        </w:tc>
        <w:tc>
          <w:tcPr>
            <w:tcW w:type="pct" w:w="45%"/>
          </w:tcPr>
          <w:p>
            <w:r>
              <w:rPr>
                <w:b w:val="false"/>
                <w:bCs w:val="false"/>
                <w:sz w:val="18"/>
                <w:szCs w:val="18"/>
              </w:rPr>
              <w:t xml:space="preserve">Patient and/or family are educated about their specific disease process, complications and prevention strategies.</w:t>
            </w:r>
          </w:p>
        </w:tc>
        <w:tc>
          <w:tcPr>
            <w:tcW w:type="pct" w:w="20%"/>
          </w:tcPr>
          <w:p>
            <w:r>
              <w:rPr>
                <w:b w:val="false"/>
                <w:bCs w:val="false"/>
                <w:sz w:val="18"/>
                <w:szCs w:val="18"/>
              </w:rPr>
              <w:t xml:space="preserve">Steps 4, 6, 7</w:t>
            </w:r>
          </w:p>
        </w:tc>
        <w:tc>
          <w:tcPr>
            <w:tcW w:type="pct" w:w="20%"/>
          </w:tcPr>
          <w:p>
            <w:r>
              <w:rPr>
                <w:b w:val="false"/>
                <w:bCs w:val="false"/>
                <w:sz w:val="18"/>
                <w:szCs w:val="18"/>
              </w:rPr>
              <w:t xml:space="preserve">Treating clinicians teach the disease process; AAC.3 owns the care plan; quality or accreditation coordinator audits</w:t>
            </w:r>
          </w:p>
        </w:tc>
      </w:tr>
      <w:tr>
        <w:tc>
          <w:tcPr>
            <w:tcW w:type="pct" w:w="15%"/>
          </w:tcPr>
          <w:p>
            <w:r>
              <w:rPr>
                <w:b w:val="false"/>
                <w:bCs w:val="false"/>
                <w:sz w:val="18"/>
                <w:szCs w:val="18"/>
              </w:rPr>
              <w:t xml:space="preserve">PRE.4.e</w:t>
            </w:r>
          </w:p>
        </w:tc>
        <w:tc>
          <w:tcPr>
            <w:tcW w:type="pct" w:w="45%"/>
          </w:tcPr>
          <w:p>
            <w:r>
              <w:rPr>
                <w:b w:val="false"/>
                <w:bCs w:val="false"/>
                <w:sz w:val="18"/>
                <w:szCs w:val="18"/>
              </w:rPr>
              <w:t xml:space="preserve">Patient and/or family are educated about preventing healthcare associated infections.</w:t>
            </w:r>
          </w:p>
        </w:tc>
        <w:tc>
          <w:tcPr>
            <w:tcW w:type="pct" w:w="20%"/>
          </w:tcPr>
          <w:p>
            <w:r>
              <w:rPr>
                <w:b w:val="false"/>
                <w:bCs w:val="false"/>
                <w:sz w:val="18"/>
                <w:szCs w:val="18"/>
              </w:rPr>
              <w:t xml:space="preserve">Steps 5, 6, 7</w:t>
            </w:r>
          </w:p>
        </w:tc>
        <w:tc>
          <w:tcPr>
            <w:tcW w:type="pct" w:w="20%"/>
          </w:tcPr>
          <w:p>
            <w:r>
              <w:rPr>
                <w:b w:val="false"/>
                <w:bCs w:val="false"/>
                <w:sz w:val="18"/>
                <w:szCs w:val="18"/>
              </w:rPr>
              <w:t xml:space="preserve">Staff who teach infection-prevention behaviour apply the method; HIC owns IPC; quality or accreditation coordinator audits</w:t>
            </w:r>
          </w:p>
        </w:tc>
      </w:tr>
      <w:tr>
        <w:tc>
          <w:tcPr>
            <w:tcW w:type="pct" w:w="15%"/>
          </w:tcPr>
          <w:p>
            <w:r>
              <w:rPr>
                <w:b w:val="false"/>
                <w:bCs w:val="false"/>
                <w:sz w:val="18"/>
                <w:szCs w:val="18"/>
              </w:rPr>
              <w:t xml:space="preserve">PRE.4.f</w:t>
            </w:r>
          </w:p>
        </w:tc>
        <w:tc>
          <w:tcPr>
            <w:tcW w:type="pct" w:w="45%"/>
          </w:tcPr>
          <w:p>
            <w:r>
              <w:rPr>
                <w:b w:val="false"/>
                <w:bCs w:val="false"/>
                <w:sz w:val="18"/>
                <w:szCs w:val="18"/>
              </w:rPr>
              <w:t xml:space="preserve">Communication with the patients and/or families is done effectively.</w:t>
            </w:r>
          </w:p>
        </w:tc>
        <w:tc>
          <w:tcPr>
            <w:tcW w:type="pct" w:w="20%"/>
          </w:tcPr>
          <w:p>
            <w:r>
              <w:rPr>
                <w:b w:val="false"/>
                <w:bCs w:val="false"/>
                <w:sz w:val="18"/>
                <w:szCs w:val="18"/>
              </w:rPr>
              <w:t xml:space="preserve">Steps 6, 1, 7</w:t>
            </w:r>
          </w:p>
        </w:tc>
        <w:tc>
          <w:tcPr>
            <w:tcW w:type="pct" w:w="20%"/>
          </w:tcPr>
          <w:p>
            <w:r>
              <w:rPr>
                <w:b w:val="false"/>
                <w:bCs w:val="false"/>
                <w:sz w:val="18"/>
                <w:szCs w:val="18"/>
              </w:rPr>
              <w:t xml:space="preserve">Named lead holds the effective-communication method; staff who teach check understanding; AAC.8 owns that follow-up advice is on the discharge summary;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HAI</w:t>
            </w:r>
          </w:p>
        </w:tc>
        <w:tc>
          <w:tcPr>
            <w:tcW w:type="pct" w:w="75%"/>
          </w:tcPr>
          <w:p>
            <w:r>
              <w:rPr>
                <w:b w:val="false"/>
                <w:bCs w:val="false"/>
                <w:sz w:val="18"/>
                <w:szCs w:val="18"/>
              </w:rPr>
              <w:t xml:space="preserve">healthcare-associated infection (also in HIC; repeated here because PRE.4.e names it)</w:t>
            </w:r>
          </w:p>
        </w:tc>
      </w:tr>
      <w:tr>
        <w:tc>
          <w:tcPr>
            <w:tcW w:type="pct" w:w="25%"/>
          </w:tcPr>
          <w:p>
            <w:r>
              <w:rPr>
                <w:b w:val="false"/>
                <w:bCs w:val="false"/>
                <w:sz w:val="18"/>
                <w:szCs w:val="18"/>
              </w:rPr>
              <w:t xml:space="preserve">IMS</w:t>
            </w:r>
          </w:p>
        </w:tc>
        <w:tc>
          <w:tcPr>
            <w:tcW w:type="pct" w:w="75%"/>
          </w:tcPr>
          <w:p>
            <w:r>
              <w:rPr>
                <w:b w:val="false"/>
                <w:bCs w:val="false"/>
                <w:sz w:val="18"/>
                <w:szCs w:val="18"/>
              </w:rPr>
              <w:t xml:space="preserve">Information Management System (NABH chapter; not yet drafted)</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PPE and HAI.</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educates the patient and/or family in a language and format they can understand; how that education covers medicines and side effects when appropriate, food-drug interaction, diet, nutrition and immunisations, the specific disease process with complications and prevention, and preventing healthcare-associated infections; and how communication with patients and families is done effectively.
The chapter intent is that patients and families have a right to information, education and communication about their healthcare needs in a language and manner that is understood by them. A leaflet the patient cannot read, a discharge instruction that is only on the summary and never taught, or a once-at-admission talk that is never repeated when the plan changes, is not that intent.
This document is the education and communication method. Informing of rights at entry is PRE.1. The consent conversation is PRE.3. Follow-up advice on the discharge summary is AAC.8. Those remain those documents.</w:t>
      </w:r>
    </w:p>
    <w:p>
      <w:pPr>
        <w:pStyle w:val="Heading1"/>
        <w:spacing w:after="150" w:before="300"/>
      </w:pPr>
      <w:r>
        <w:t xml:space="preserve">2. Scope</w:t>
      </w:r>
    </w:p>
    <w:p>
      <w:pPr>
        <w:spacing w:after="150"/>
      </w:pPr>
      <w:r>
        <w:rPr>
          <w:sz w:val="22"/>
          <w:szCs w:val="22"/>
        </w:rPr>
        <w:t xml:space="preserve">This policy applies to every point at which a patient or family at HMP Foundation is taught about healthcare needs: out-patient, emergency after stabilisation, in-patient wards, day-care, intensive or high-dependency areas where they exist, and at discharge insofar as teaching happens. It binds the clinicians and nurses who educate, the person who checks that communication was effective, and the named lead who holds the method.
It covers: education in a language and format they can understand; education about safe and effective use of medication and potential side effects when appropriate; education about food-drug interaction, diet, nutrition and immunisations; education about the specific disease process, complications and prevention strategies; education about preventing healthcare-associated infections; and effective communication with patients and/or families.
Boundaries with other policies of HMP Foundation:
- Awareness of rights and responsibilities at entry is governed by PRE.1. This document owns teaching about healthcare needs, not the rights charter.
- The consent conversation (procedure, risks, benefits, alternatives, who will perform, in a language they can understand) is PRE.3.b. This document owns ongoing education in that language. They may use the same language; they are not the same act.
- Discharge-summary follow-up advice in an understandable manner is governed by the discharge policy of HMP Foundation (AAC.8). AAC.8 owns that the advice is on the paper the patient takes away and already hands teaching method to PRE. This document accepts that handoff. AAC.8 does not write how education is given during the stay.
- Safe and effective use of medication as an administration act is governed by MOM.6. Capture of near-miss, medication error and adverse drug reaction is MOM.7. This document owns teaching about medicines and side effects (PRE.4.b). MOM.7 still captures the event; teaching does not replace reporting.
- Nutritional-risk screen and therapeutic diet as a clinical act are governed by COP.13. Paediatric immunisation assessment is COP.8. Kitchen infection-control method is HIC.3. This document owns teaching about food-drug interaction, diet, nutrition and immunisations (PRE.4.c). It does not write the diet card, the immunisation schedule, or the kitchen SOP, and it does not name the Food Safety and Standards Act, 2006 in paragraph 2.
- Preventing healthcare-associated infections as an infection-prevention programme is governed by HIC.2, HIC.4 and HIC.5. This document owns teaching the patient and family how they can help prevent HAI (PRE.4.e). It does not rewrite bundles, surveillance or waste colours.
- Access to clinical records as a right is PRE.2.j. The record itself is IMS (not yet drafted). This document may use the record as a teaching aid; it does not grant or refuse access.
- Expected-cost explanation is PRE.5. This document does not teach the tariff.</w:t>
      </w:r>
    </w:p>
    <w:p>
      <w:pPr>
        <w:pStyle w:val="Heading1"/>
        <w:spacing w:after="150" w:before="300"/>
      </w:pPr>
      <w:r>
        <w:t xml:space="preserve">3. Policy Statement</w:t>
      </w:r>
    </w:p>
    <w:p>
      <w:pPr>
        <w:spacing w:after="150"/>
      </w:pPr>
      <w:r>
        <w:rPr>
          <w:sz w:val="22"/>
          <w:szCs w:val="22"/>
        </w:rPr>
        <w:t xml:space="preserve">HMP Foundation educates the patient and/or family in a language and format that they can understand.
HMP Foundation educates the patient and/or family about the safe and effective use of medication and the potential side effects of the medication, when appropriate.
HMP Foundation educates the patient and/or family about food-drug interaction and about diet, nutrition and immunisations.
HMP Foundation educates the patient and/or family about their specific disease process, complications and prevention strategies.
HMP Foundation educates the patient and/or family about preventing healthcare-associated infections.
HMP Foundation communicates with patients and/or families effectively. A leaflet unread, or a monologue without a check that it was understood, is not effective communication.</w:t>
      </w:r>
    </w:p>
    <w:p>
      <w:pPr>
        <w:pStyle w:val="Heading1"/>
        <w:spacing w:after="150" w:before="300"/>
      </w:pPr>
      <w:r>
        <w:t xml:space="preserve">4. Procedure</w:t>
      </w:r>
    </w:p>
    <w:p>
      <w:pPr>
        <w:spacing w:after="90" w:before="240"/>
      </w:pPr>
      <w:r>
        <w:rPr>
          <w:b/>
          <w:bCs/>
          <w:sz w:val="23"/>
          <w:szCs w:val="23"/>
        </w:rPr>
        <w:t xml:space="preserve">1. Education in a language and format they can understand (PRE.4.a, PRE.4.f)</w:t>
      </w:r>
    </w:p>
    <w:p>
      <w:pPr>
        <w:spacing w:after="120"/>
      </w:pPr>
      <w:r>
        <w:rPr>
          <w:sz w:val="22"/>
          <w:szCs w:val="22"/>
        </w:rPr>
        <w:t xml:space="preserve">Patient and/or family are educated in a language and format that they can understand.</w:t>
      </w:r>
    </w:p>
    <w:p>
      <w:pPr>
        <w:spacing w:after="120"/>
      </w:pPr>
      <w:r>
        <w:rPr>
          <w:sz w:val="22"/>
          <w:szCs w:val="22"/>
        </w:rPr>
        <w:t xml:space="preserve">How that language and format are chosen and recorded — spoken language, written material, interpreter or accompanying family as translator, and what is done when the patient cannot read — is [Hospital to define — how education language and format are chosen and recorded, including when the patient cannot read or does not share the staff's language]. A board or leaflet only in English, in a hospital whose patients do not read English, is not this OE. PRE.3.b uses the same language for the consent conversation; this step is ongoing education, not that conversation.</w:t>
      </w:r>
    </w:p>
    <w:p>
      <w:pPr>
        <w:spacing w:after="120"/>
      </w:pPr>
      <w:r>
        <w:rPr>
          <w:sz w:val="22"/>
          <w:szCs w:val="22"/>
        </w:rPr>
        <w:t xml:space="preserve">This document does not print a reading-age score or a named leaflet as a NABH mandate. Badarudeen and Sabharwal (2010) — chapter reference 1 — and Nouri and Rudd (2015) — chapter reference 14 — are used as frameworks for readability and oral health literacy, not as pasted protocols.</w:t>
      </w:r>
    </w:p>
    <w:p>
      <w:pPr>
        <w:spacing w:after="90" w:before="240"/>
      </w:pPr>
      <w:r>
        <w:rPr>
          <w:b/>
          <w:bCs/>
          <w:sz w:val="23"/>
          <w:szCs w:val="23"/>
        </w:rPr>
        <w:t xml:space="preserve">2. Education about medicines and potential side effects, when appropriate (PRE.4.b)</w:t>
      </w:r>
    </w:p>
    <w:p>
      <w:pPr>
        <w:spacing w:after="120"/>
      </w:pPr>
      <w:r>
        <w:rPr>
          <w:sz w:val="22"/>
          <w:szCs w:val="22"/>
        </w:rPr>
        <w:t xml:space="preserve">Patient and/or family are educated about the safe and effective use of medication and the potential side effects of the medication, when appropriate.</w:t>
      </w:r>
    </w:p>
    <w:p>
      <w:pPr>
        <w:spacing w:after="120"/>
      </w:pPr>
      <w:r>
        <w:rPr>
          <w:sz w:val="22"/>
          <w:szCs w:val="22"/>
        </w:rPr>
        <w:t xml:space="preserve">When that education is given (for example at start of a medicine, at a change, or at discharge), what 'when appropriate' excludes, and how it is recorded, are [Hospital to define — when medication and side-effect education is given, what 'when appropriate' excludes, and how it is recorded]. Administration of the dose remains MOM.6. Capture of a near-miss, medication error or adverse drug reaction remains MOM.7; this teaching does not replace that report. This step does not print a side-effect list as a NABH mandate.</w:t>
      </w:r>
    </w:p>
    <w:p>
      <w:pPr>
        <w:spacing w:after="90" w:before="240"/>
      </w:pPr>
      <w:r>
        <w:rPr>
          <w:b/>
          <w:bCs/>
          <w:sz w:val="23"/>
          <w:szCs w:val="23"/>
        </w:rPr>
        <w:t xml:space="preserve">3. Education about food-drug interaction, diet, nutrition and immunisations (PRE.4.c)</w:t>
      </w:r>
    </w:p>
    <w:p>
      <w:pPr>
        <w:spacing w:after="120"/>
      </w:pPr>
      <w:r>
        <w:rPr>
          <w:sz w:val="22"/>
          <w:szCs w:val="22"/>
        </w:rPr>
        <w:t xml:space="preserve">Patient and/or family are educated about food-drug interaction and about diet, nutrition and immunisations.</w:t>
      </w:r>
    </w:p>
    <w:p>
      <w:pPr>
        <w:spacing w:after="120"/>
      </w:pPr>
      <w:r>
        <w:rPr>
          <w:sz w:val="22"/>
          <w:szCs w:val="22"/>
        </w:rPr>
        <w:t xml:space="preserve">How that education is given for each of those topics this hospital actually uses, and how it is recorded, are [Hospital to define — how education on food-drug interaction, diet, nutrition and immunisations is given and recorded, including a recorded absence for a topic this hospital does not provide]. Nutritional-risk screen and therapeutic diet remain COP.13. Paediatric immunisation assessment remains COP.8. Kitchen method remains HIC.3. This step teaches; it does not write those methods. Unused immunisation as a service is a recorded absence against the service directory (AAC.1), not a copied immunisation SOP.</w:t>
      </w:r>
    </w:p>
    <w:p>
      <w:pPr>
        <w:spacing w:after="90" w:before="240"/>
      </w:pPr>
      <w:r>
        <w:rPr>
          <w:b/>
          <w:bCs/>
          <w:sz w:val="23"/>
          <w:szCs w:val="23"/>
        </w:rPr>
        <w:t xml:space="preserve">4. Education about the specific disease process, complications and prevention (PRE.4.d)</w:t>
      </w:r>
    </w:p>
    <w:p>
      <w:pPr>
        <w:spacing w:after="120"/>
      </w:pPr>
      <w:r>
        <w:rPr>
          <w:sz w:val="22"/>
          <w:szCs w:val="22"/>
        </w:rPr>
        <w:t xml:space="preserve">Patient and/or family are educated about their specific disease process, complications and prevention strategies.</w:t>
      </w:r>
    </w:p>
    <w:p>
      <w:pPr>
        <w:spacing w:after="120"/>
      </w:pPr>
      <w:r>
        <w:rPr>
          <w:sz w:val="22"/>
          <w:szCs w:val="22"/>
        </w:rPr>
        <w:t xml:space="preserve">How that education is given for the conditions this hospital treats, and how it is recorded, are [Hospital to define — how disease-process, complication and prevention education is given and recorded]. Specific means the condition this patient has, not a generic 'be healthy' poster. Clinical diagnosis and the care plan remain AAC.3; this step is the teaching about that diagnosis.</w:t>
      </w:r>
    </w:p>
    <w:p>
      <w:pPr>
        <w:spacing w:after="90" w:before="240"/>
      </w:pPr>
      <w:r>
        <w:rPr>
          <w:b/>
          <w:bCs/>
          <w:sz w:val="23"/>
          <w:szCs w:val="23"/>
        </w:rPr>
        <w:t xml:space="preserve">5. Education about preventing healthcare-associated infections (PRE.4.e)</w:t>
      </w:r>
    </w:p>
    <w:p>
      <w:pPr>
        <w:spacing w:after="120"/>
      </w:pPr>
      <w:r>
        <w:rPr>
          <w:sz w:val="22"/>
          <w:szCs w:val="22"/>
        </w:rPr>
        <w:t xml:space="preserve">Patient and/or family are educated about preventing healthcare associated infections.</w:t>
      </w:r>
    </w:p>
    <w:p>
      <w:pPr>
        <w:spacing w:after="120"/>
      </w:pPr>
      <w:r>
        <w:rPr>
          <w:sz w:val="22"/>
          <w:szCs w:val="22"/>
        </w:rPr>
        <w:t xml:space="preserve">How that education is given — what the patient and family are asked to do (for example hand hygiene, not touching devices, telling staff of fever) — and how it is recorded, are [Hospital to define — how patients and families are educated about preventing healthcare-associated infections, and how that is recorded]. Bundles, surveillance, isolation and waste remain HIC.2, HIC.4 and HIC.5. This step does not rewrite those methods and does not name Bio-Medical Waste Management Rules, 2016 in paragraph 2.</w:t>
      </w:r>
    </w:p>
    <w:p>
      <w:pPr>
        <w:spacing w:after="90" w:before="240"/>
      </w:pPr>
      <w:r>
        <w:rPr>
          <w:b/>
          <w:bCs/>
          <w:sz w:val="23"/>
          <w:szCs w:val="23"/>
        </w:rPr>
        <w:t xml:space="preserve">6. Communication with patients and/or families is done effectively (PRE.4.a, PRE.4.b, PRE.4.c, PRE.4.d, PRE.4.e, PRE.4.f)</w:t>
      </w:r>
    </w:p>
    <w:p>
      <w:pPr>
        <w:spacing w:after="120"/>
      </w:pPr>
      <w:r>
        <w:rPr>
          <w:sz w:val="22"/>
          <w:szCs w:val="22"/>
        </w:rPr>
        <w:t xml:space="preserve">Communication with the patients and/or families is done effectively. This step is the documented-evidence anchor of an Excellence requirement the standard asterisks. An assessor will ask not whether a leaflet exists, but whether the conversation worked. The answer must be a method this hospital uses to check understanding and to adapt when it did not, not a stack of unreadable printouts counted as communication.</w:t>
      </w:r>
    </w:p>
    <w:p>
      <w:pPr>
        <w:spacing w:after="120"/>
      </w:pPr>
      <w:r>
        <w:rPr>
          <w:sz w:val="22"/>
          <w:szCs w:val="22"/>
        </w:rPr>
        <w:t xml:space="preserve">The reason this is written separately from steps 1-5 is that those steps name topics. This step names quality. A medicine talk in a language the family does not speak, a disease explanation that the patient nods through and cannot repeat, or a discharge teaching that is only a signature on AAC.8's summary, is education that was not communication. The chapter intent is language and manner that are understood. The common error is to treat 'we told them' as 'they understood', or to copy an EDUCATE checklist as if NABH had mandated that model.</w:t>
      </w:r>
    </w:p>
    <w:p>
      <w:pPr>
        <w:spacing w:after="120"/>
      </w:pPr>
      <w:r>
        <w:rPr>
          <w:sz w:val="22"/>
          <w:szCs w:val="22"/>
        </w:rPr>
        <w:t xml:space="preserve">Marcus (2014) — chapter reference 11, EDUCATE — and Ha and Longnecker (2010) — chapter reference 7 — are the book's own sources on verbal education and doctor-patient communication. They are used as frameworks for what 'effectively' can mean (teach-back, chunking, checking understanding, adapting to distress). They are not pasted as a protocol, and they are not a mandate to print those acronyms on the form. Readability work in the same bibliography (Badarudeen and Sabharwal 2010; Roberts, Zhang and Dyer 2016; Williams, Muir and Rosdahl 2016) informs written material at step 1; this step is the oral exchange Nouri and Rudd (2015) name.</w:t>
      </w:r>
    </w:p>
    <w:p>
      <w:pPr>
        <w:spacing w:after="120"/>
      </w:pPr>
      <w:r>
        <w:rPr>
          <w:sz w:val="22"/>
          <w:szCs w:val="22"/>
        </w:rPr>
        <w:t xml:space="preserve">How communication is done so that it is effective — who speaks, how understanding is checked, what is done when it was not understood, and how that is recorded — is [Hospital to define — how communication with patients and families is done effectively, including how understanding is checked and what is done when it was not]. Effective communication applies to every topic in steps 1-5 and to the teaching AAC.8 requires on the discharge summary. A harvested signature is not a check of understanding.</w:t>
      </w:r>
    </w:p>
    <w:p>
      <w:pPr>
        <w:spacing w:after="120"/>
      </w:pPr>
      <w:r>
        <w:rPr>
          <w:sz w:val="22"/>
          <w:szCs w:val="22"/>
        </w:rPr>
        <w:t xml:space="preserve">This document does not print a communication script, a minimum number of minutes, or a named model as a NABH mandate.</w:t>
      </w:r>
    </w:p>
    <w:p>
      <w:pPr>
        <w:spacing w:after="90" w:before="240"/>
      </w:pPr>
      <w:r>
        <w:rPr>
          <w:b/>
          <w:bCs/>
          <w:sz w:val="23"/>
          <w:szCs w:val="23"/>
        </w:rPr>
        <w:t xml:space="preserve">7. Records, review and the order of operations (PRE.4.a, PRE.4.b, PRE.4.c, PRE.4.d, PRE.4.e, PRE.4.f)</w:t>
      </w:r>
    </w:p>
    <w:p>
      <w:pPr>
        <w:spacing w:after="120"/>
      </w:pPr>
      <w:r>
        <w:rPr>
          <w:sz w:val="22"/>
          <w:szCs w:val="22"/>
        </w:rPr>
        <w:t xml:space="preserve">The language-and-format method, topic education records, and the effective-communication method, are retrievable against the unique identification number where teaching was given.</w:t>
      </w:r>
    </w:p>
    <w:p>
      <w:pPr>
        <w:spacing w:after="120"/>
      </w:pPr>
      <w:r>
        <w:rPr>
          <w:sz w:val="22"/>
          <w:szCs w:val="22"/>
        </w:rPr>
        <w:t xml:space="preserve">The quality or accreditation coordinator audits a sample of these records at [Hospital to define — the audit interval for patient-education and communication records] for: language and format they can understand; medicines and side effects when appropriate; food-drug, diet, nutrition and immunisations as this hospital provides them; disease process; preventing HAI; a check that communication was effective rather than a leaflet or a signature alone; and no restatement of MOM.6, MOM.7, COP.13, COP.8 or HIC method offered as this education.</w:t>
      </w:r>
    </w:p>
    <w:p>
      <w:pPr>
        <w:spacing w:after="120"/>
      </w:pPr>
      <w:r>
        <w:rPr>
          <w:sz w:val="22"/>
          <w:szCs w:val="22"/>
        </w:rPr>
        <w:t xml:space="preserve">This policy is reviewed at [Hospital to define — the review interval for this policy], and sooner when a family left unable to repeat the teaching, or a leaflet-only process was offered as communication, or when AAC.8, MOM.6, MOM.7, COP.13, COP.8 or HIC documents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educating patients and families about healthcare needs in a language and format they can understand, and for communication being effective.
The named lead for patient education and communication authors and keeps current the language-and-format method, the topic methods and the effective-communication method. The named lead is [Hospital to define — the named lead for patient education and communication].
Clinicians and nurses who teach apply those methods. Staff who hand a leaflet without checking understanding do not meet step 6.
The quality or accreditation coordinator audits the records at step 7 and reports findings to the head of the institution.
All staff are expected to treat unread material, teaching in a language the family does not use, and a signature offered as proof of understanding,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Patient Rights and Education chapter, standard PRE.4.
- Badarudeen, S., &amp; Sabharwal, S. (2010). Assessing readability of patient education materials. Clinical Orthopaedics and Related Research, 468(10), 2572-2580 — chapter reference 1; used as a framework for written material; not pasted as a protocol.
- Marcus, C. (2014). Strategies for improving the quality of verbal patient and family education: a review of the literature and creation of the EDUCATE model. Health Psychology and Behavioral Medicine, 2(1), 482-495 — chapter reference 11; used as a framework for effective verbal education; not pasted as a protocol.
- Nouri, S. S., &amp; Rudd, R. E. (2015). Health literacy in the "oral exchange". Patient Education and Counseling, 98(5), 565-571 — chapter reference 14; used as a framework for oral understanding; not pasted as a protocol.
- Ha, J. F., &amp; Longnecker, N. (2010). Doctor-patient communication: a review. Ochsner Journal, 10(1), 38-43 — chapter reference 7; used as a framework; not pasted as a protocol.
- Internal documents of HMP Foundation: the language-and-format method; topic education methods; the effective-communication method; the rights, consent, discharge, medication-administration, medication-error, nutrition, immunisation, infection-prevention and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out-patient; emergency; in-patient wards; ICU where it exists; nursing administration; and the named lead.
The current version is available to all staff at [Hospital to define — intranet location or nursing station folder]. The education methods — the working documents this policy requires — are held where teaching is given.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PRE.4.a — Patient and/or family are educated in a language and format that they can understand.</w:t>
      </w:r>
    </w:p>
    <w:p>
      <w:pPr>
        <w:pStyle w:val="ListParagraph"/>
        <w:numPr>
          <w:ilvl w:val="0"/>
          <w:numId w:val="1"/>
        </w:numPr>
        <w:spacing w:after="60"/>
      </w:pPr>
      <w:r>
        <w:rPr>
          <w:sz w:val="22"/>
          <w:szCs w:val="22"/>
        </w:rPr>
        <w:t xml:space="preserve">The written language-and-format method, including when the patient cannot read or does not share the staff's language</w:t>
      </w:r>
    </w:p>
    <w:p>
      <w:pPr>
        <w:pStyle w:val="ListParagraph"/>
        <w:numPr>
          <w:ilvl w:val="0"/>
          <w:numId w:val="1"/>
        </w:numPr>
        <w:spacing w:after="60"/>
      </w:pPr>
      <w:r>
        <w:rPr>
          <w:sz w:val="22"/>
          <w:szCs w:val="22"/>
        </w:rPr>
        <w:t xml:space="preserve">sample teaching records showing that method rather than an English-only leaflet</w:t>
      </w:r>
    </w:p>
    <w:p>
      <w:pPr>
        <w:pStyle w:val="ListParagraph"/>
        <w:numPr>
          <w:ilvl w:val="0"/>
          <w:numId w:val="1"/>
        </w:numPr>
        <w:spacing w:after="60"/>
      </w:pPr>
      <w:r>
        <w:rPr>
          <w:sz w:val="22"/>
          <w:szCs w:val="22"/>
        </w:rPr>
        <w:t xml:space="preserve">the recorded split that PRE.3.b is the consent conversation</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PRE.4.b — Patient and/or family are educated about the safe and effective use of medication and the potential side effects of the medication, when appropriate.</w:t>
      </w:r>
    </w:p>
    <w:p>
      <w:pPr>
        <w:pStyle w:val="ListParagraph"/>
        <w:numPr>
          <w:ilvl w:val="0"/>
          <w:numId w:val="1"/>
        </w:numPr>
        <w:spacing w:after="60"/>
      </w:pPr>
      <w:r>
        <w:rPr>
          <w:sz w:val="22"/>
          <w:szCs w:val="22"/>
        </w:rPr>
        <w:t xml:space="preserve">The written method for medication and side-effect education including what 'when appropriate' excludes</w:t>
      </w:r>
    </w:p>
    <w:p>
      <w:pPr>
        <w:pStyle w:val="ListParagraph"/>
        <w:numPr>
          <w:ilvl w:val="0"/>
          <w:numId w:val="1"/>
        </w:numPr>
        <w:spacing w:after="60"/>
      </w:pPr>
      <w:r>
        <w:rPr>
          <w:sz w:val="22"/>
          <w:szCs w:val="22"/>
        </w:rPr>
        <w:t xml:space="preserve">sample records of that teaching</w:t>
      </w:r>
    </w:p>
    <w:p>
      <w:pPr>
        <w:pStyle w:val="ListParagraph"/>
        <w:numPr>
          <w:ilvl w:val="0"/>
          <w:numId w:val="1"/>
        </w:numPr>
        <w:spacing w:after="60"/>
      </w:pPr>
      <w:r>
        <w:rPr>
          <w:sz w:val="22"/>
          <w:szCs w:val="22"/>
        </w:rPr>
        <w:t xml:space="preserve">the recorded split that MOM.6 owns administration and MOM.7 still captures NM/ME/ADR</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PRE.4.c — Patient and/or family are educated about food-drug interaction and about diet, nutrition and immunisations.</w:t>
      </w:r>
    </w:p>
    <w:p>
      <w:pPr>
        <w:pStyle w:val="ListParagraph"/>
        <w:numPr>
          <w:ilvl w:val="0"/>
          <w:numId w:val="1"/>
        </w:numPr>
        <w:spacing w:after="60"/>
      </w:pPr>
      <w:r>
        <w:rPr>
          <w:sz w:val="22"/>
          <w:szCs w:val="22"/>
        </w:rPr>
        <w:t xml:space="preserve">The written method for food-drug, diet, nutrition and immunisation education, with a recorded absence for a topic this hospital does not provide</w:t>
      </w:r>
    </w:p>
    <w:p>
      <w:pPr>
        <w:pStyle w:val="ListParagraph"/>
        <w:numPr>
          <w:ilvl w:val="0"/>
          <w:numId w:val="1"/>
        </w:numPr>
        <w:spacing w:after="60"/>
      </w:pPr>
      <w:r>
        <w:rPr>
          <w:sz w:val="22"/>
          <w:szCs w:val="22"/>
        </w:rPr>
        <w:t xml:space="preserve">sample teaching records</w:t>
      </w:r>
    </w:p>
    <w:p>
      <w:pPr>
        <w:pStyle w:val="ListParagraph"/>
        <w:numPr>
          <w:ilvl w:val="0"/>
          <w:numId w:val="1"/>
        </w:numPr>
        <w:spacing w:after="60"/>
      </w:pPr>
      <w:r>
        <w:rPr>
          <w:sz w:val="22"/>
          <w:szCs w:val="22"/>
        </w:rPr>
        <w:t xml:space="preserve">the recorded split that COP.13, COP.8 and HIC.3 own the clinical and kitchen methods</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PRE.4.d — Patient and/or family are educated about their specific disease process, complications and prevention strategies.</w:t>
      </w:r>
    </w:p>
    <w:p>
      <w:pPr>
        <w:pStyle w:val="ListParagraph"/>
        <w:numPr>
          <w:ilvl w:val="0"/>
          <w:numId w:val="1"/>
        </w:numPr>
        <w:spacing w:after="60"/>
      </w:pPr>
      <w:r>
        <w:rPr>
          <w:sz w:val="22"/>
          <w:szCs w:val="22"/>
        </w:rPr>
        <w:t xml:space="preserve">The written method for disease-process education specific to the condition this patient has</w:t>
      </w:r>
    </w:p>
    <w:p>
      <w:pPr>
        <w:pStyle w:val="ListParagraph"/>
        <w:numPr>
          <w:ilvl w:val="0"/>
          <w:numId w:val="1"/>
        </w:numPr>
        <w:spacing w:after="60"/>
      </w:pPr>
      <w:r>
        <w:rPr>
          <w:sz w:val="22"/>
          <w:szCs w:val="22"/>
        </w:rPr>
        <w:t xml:space="preserve">sample records rather than a generic poster counted as teaching</w:t>
      </w:r>
    </w:p>
    <w:p>
      <w:pPr>
        <w:pStyle w:val="ListParagraph"/>
        <w:numPr>
          <w:ilvl w:val="0"/>
          <w:numId w:val="1"/>
        </w:numPr>
        <w:spacing w:after="60"/>
      </w:pPr>
      <w:r>
        <w:rPr>
          <w:sz w:val="22"/>
          <w:szCs w:val="22"/>
        </w:rPr>
        <w:t xml:space="preserve">the recorded split that AAC.3 owns diagnosis and the care plan</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PRE.4.e — Patient and/or family are educated about preventing healthcare associated infections.</w:t>
      </w:r>
    </w:p>
    <w:p>
      <w:pPr>
        <w:pStyle w:val="ListParagraph"/>
        <w:numPr>
          <w:ilvl w:val="0"/>
          <w:numId w:val="1"/>
        </w:numPr>
        <w:spacing w:after="60"/>
      </w:pPr>
      <w:r>
        <w:rPr>
          <w:sz w:val="22"/>
          <w:szCs w:val="22"/>
        </w:rPr>
        <w:t xml:space="preserve">The written method for teaching patients and families how they can help prevent HAI</w:t>
      </w:r>
    </w:p>
    <w:p>
      <w:pPr>
        <w:pStyle w:val="ListParagraph"/>
        <w:numPr>
          <w:ilvl w:val="0"/>
          <w:numId w:val="1"/>
        </w:numPr>
        <w:spacing w:after="60"/>
      </w:pPr>
      <w:r>
        <w:rPr>
          <w:sz w:val="22"/>
          <w:szCs w:val="22"/>
        </w:rPr>
        <w:t xml:space="preserve">sample teaching records</w:t>
      </w:r>
    </w:p>
    <w:p>
      <w:pPr>
        <w:pStyle w:val="ListParagraph"/>
        <w:numPr>
          <w:ilvl w:val="0"/>
          <w:numId w:val="1"/>
        </w:numPr>
        <w:spacing w:after="60"/>
      </w:pPr>
      <w:r>
        <w:rPr>
          <w:sz w:val="22"/>
          <w:szCs w:val="22"/>
        </w:rPr>
        <w:t xml:space="preserve">the recorded split that HIC.2/HIC.4/HIC.5 own IPC method and this step does not rewrite bundles or surveillance</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PRE.4.f — Communication with the patients and/or families is done effectively.</w:t>
      </w:r>
    </w:p>
    <w:p>
      <w:pPr>
        <w:pStyle w:val="ListParagraph"/>
        <w:numPr>
          <w:ilvl w:val="0"/>
          <w:numId w:val="1"/>
        </w:numPr>
        <w:spacing w:after="60"/>
      </w:pPr>
      <w:r>
        <w:rPr>
          <w:sz w:val="22"/>
          <w:szCs w:val="22"/>
        </w:rPr>
        <w:t xml:space="preserve">The written effective-communication method showing how understanding is checked and what is done when it was not, rather than a leaflet stack or a harvested signature counted as communication</w:t>
      </w:r>
    </w:p>
    <w:p>
      <w:pPr>
        <w:pStyle w:val="ListParagraph"/>
        <w:numPr>
          <w:ilvl w:val="0"/>
          <w:numId w:val="1"/>
        </w:numPr>
        <w:spacing w:after="60"/>
      </w:pPr>
      <w:r>
        <w:rPr>
          <w:sz w:val="22"/>
          <w:szCs w:val="22"/>
        </w:rPr>
        <w:t xml:space="preserve">sample teaching encounters against the unique identification number that record a check of understanding (for example the patient or family repeating the key point) and an adaptation when the first explanation failed, covering the topics in steps 1-5 and the discharge teaching AAC.8 requires on the summary</w:t>
      </w:r>
    </w:p>
    <w:p>
      <w:pPr>
        <w:pStyle w:val="ListParagraph"/>
        <w:numPr>
          <w:ilvl w:val="0"/>
          <w:numId w:val="1"/>
        </w:numPr>
        <w:spacing w:after="60"/>
      </w:pPr>
      <w:r>
        <w:rPr>
          <w:sz w:val="22"/>
          <w:szCs w:val="22"/>
        </w:rPr>
        <w:t xml:space="preserve">the recorded use of Marcus 2014 EDUCATE, Ha and Longnecker 2010, and Nouri and Rudd 2015 (chapter references 11, 7 and 14) as frameworks not pasted protocols or mandated acronyms</w:t>
      </w:r>
    </w:p>
    <w:p>
      <w:pPr>
        <w:pStyle w:val="ListParagraph"/>
        <w:numPr>
          <w:ilvl w:val="0"/>
          <w:numId w:val="1"/>
        </w:numPr>
        <w:spacing w:after="60"/>
      </w:pPr>
      <w:r>
        <w:rPr>
          <w:sz w:val="22"/>
          <w:szCs w:val="22"/>
        </w:rPr>
        <w:t xml:space="preserve">the recorded refusal to print a communication script, a minimum number of minutes, or a named model as a NABH mandate</w:t>
      </w:r>
    </w:p>
    <w:p>
      <w:pPr>
        <w:pStyle w:val="ListParagraph"/>
        <w:numPr>
          <w:ilvl w:val="0"/>
          <w:numId w:val="1"/>
        </w:numPr>
        <w:spacing w:after="60"/>
      </w:pPr>
      <w:r>
        <w:rPr>
          <w:sz w:val="22"/>
          <w:szCs w:val="22"/>
        </w:rPr>
        <w:t xml:space="preserve">induction or briefing records of staff who teach, showing they were shown the check-of-understanding method rather than only handed leaflets</w:t>
      </w:r>
    </w:p>
    <w:p>
      <w:pPr>
        <w:pStyle w:val="ListParagraph"/>
        <w:numPr>
          <w:ilvl w:val="0"/>
          <w:numId w:val="1"/>
        </w:numPr>
        <w:spacing w:after="60"/>
      </w:pPr>
      <w:r>
        <w:rPr>
          <w:sz w:val="22"/>
          <w:szCs w:val="22"/>
        </w:rPr>
        <w:t xml:space="preserve">the location where the method is held</w:t>
      </w:r>
    </w:p>
    <w:p>
      <w:pPr>
        <w:pStyle w:val="ListParagraph"/>
        <w:numPr>
          <w:ilvl w:val="0"/>
          <w:numId w:val="1"/>
        </w:numPr>
        <w:spacing w:after="60"/>
      </w:pPr>
      <w:r>
        <w:rPr>
          <w:sz w:val="22"/>
          <w:szCs w:val="22"/>
        </w:rPr>
        <w:t xml:space="preserve">the audit sample at step 7 of communication that worked rather than material that existed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HMP/PRE/POL-4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2026-08-17T14:11:24.237Z</dcterms:created>
  <dcterms:modified xsi:type="dcterms:W3CDTF">2026-08-17T14:11:24.237Z</dcterms:modified>
</cp:coreProperties>
</file>

<file path=docProps/custom.xml><?xml version="1.0" encoding="utf-8"?>
<Properties xmlns="http://schemas.openxmlformats.org/officeDocument/2006/custom-properties" xmlns:vt="http://schemas.openxmlformats.org/officeDocument/2006/docPropsVTypes"/>
</file>