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Information on Expected Costs</w:t>
      </w:r>
    </w:p>
    <w:p>
      <w:pPr>
        <w:spacing w:after="300"/>
        <w:jc w:val="center"/>
      </w:pPr>
      <w:r>
        <w:rPr>
          <w:i/>
          <w:iCs/>
          <w:sz w:val="20"/>
          <w:szCs w:val="20"/>
        </w:rPr>
        <w:t xml:space="preserve">(Mandatory System Documentation as per NABH SHCO 3rd Edition — PRE.5.a, PRE.5.b, PRE.5.c, PRE.5.d)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HMP/PRE/POL-5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PRE.5.a, PRE.5.b, PRE.5.c, PRE.5.d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PRE</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PRE.5.a</w:t>
            </w:r>
          </w:p>
        </w:tc>
        <w:tc>
          <w:tcPr>
            <w:tcW w:type="pct" w:w="45%"/>
          </w:tcPr>
          <w:p>
            <w:r>
              <w:rPr>
                <w:b w:val="false"/>
                <w:bCs w:val="false"/>
                <w:sz w:val="18"/>
                <w:szCs w:val="18"/>
              </w:rPr>
              <w:t xml:space="preserve">The patient and/or family members are made aware of the pricing policy in different settings (out-patient, emergency, ICU and in-patient).</w:t>
            </w:r>
          </w:p>
        </w:tc>
        <w:tc>
          <w:tcPr>
            <w:tcW w:type="pct" w:w="20%"/>
          </w:tcPr>
          <w:p>
            <w:r>
              <w:rPr>
                <w:b w:val="false"/>
                <w:bCs w:val="false"/>
                <w:sz w:val="18"/>
                <w:szCs w:val="18"/>
              </w:rPr>
              <w:t xml:space="preserve">Steps 1, 5</w:t>
            </w:r>
          </w:p>
        </w:tc>
        <w:tc>
          <w:tcPr>
            <w:tcW w:type="pct" w:w="20%"/>
          </w:tcPr>
          <w:p>
            <w:r>
              <w:rPr>
                <w:b w:val="false"/>
                <w:bCs w:val="false"/>
                <w:sz w:val="18"/>
                <w:szCs w:val="18"/>
              </w:rPr>
              <w:t xml:space="preserve">Named lead holds the pricing policy; staff at those settings make families aware; quality or accreditation coordinator audits</w:t>
            </w:r>
          </w:p>
        </w:tc>
      </w:tr>
      <w:tr>
        <w:tc>
          <w:tcPr>
            <w:tcW w:type="pct" w:w="15%"/>
          </w:tcPr>
          <w:p>
            <w:r>
              <w:rPr>
                <w:b w:val="false"/>
                <w:bCs w:val="false"/>
                <w:sz w:val="18"/>
                <w:szCs w:val="18"/>
              </w:rPr>
              <w:t xml:space="preserve">PRE.5.b</w:t>
            </w:r>
          </w:p>
        </w:tc>
        <w:tc>
          <w:tcPr>
            <w:tcW w:type="pct" w:w="45%"/>
          </w:tcPr>
          <w:p>
            <w:r>
              <w:rPr>
                <w:b w:val="false"/>
                <w:bCs w:val="false"/>
                <w:sz w:val="18"/>
                <w:szCs w:val="18"/>
              </w:rPr>
              <w:t xml:space="preserve">The relevant tariff list is available to patients.</w:t>
            </w:r>
          </w:p>
        </w:tc>
        <w:tc>
          <w:tcPr>
            <w:tcW w:type="pct" w:w="20%"/>
          </w:tcPr>
          <w:p>
            <w:r>
              <w:rPr>
                <w:b w:val="false"/>
                <w:bCs w:val="false"/>
                <w:sz w:val="18"/>
                <w:szCs w:val="18"/>
              </w:rPr>
              <w:t xml:space="preserve">Steps 2, 1, 5</w:t>
            </w:r>
          </w:p>
        </w:tc>
        <w:tc>
          <w:tcPr>
            <w:tcW w:type="pct" w:w="20%"/>
          </w:tcPr>
          <w:p>
            <w:r>
              <w:rPr>
                <w:b w:val="false"/>
                <w:bCs w:val="false"/>
                <w:sz w:val="18"/>
                <w:szCs w:val="18"/>
              </w:rPr>
              <w:t xml:space="preserve">Named lead holds the tariff-availability method; finance produces the list; quality or accreditation coordinator audits</w:t>
            </w:r>
          </w:p>
        </w:tc>
      </w:tr>
      <w:tr>
        <w:tc>
          <w:tcPr>
            <w:tcW w:type="pct" w:w="15%"/>
          </w:tcPr>
          <w:p>
            <w:r>
              <w:rPr>
                <w:b w:val="false"/>
                <w:bCs w:val="false"/>
                <w:sz w:val="18"/>
                <w:szCs w:val="18"/>
              </w:rPr>
              <w:t xml:space="preserve">PRE.5.c</w:t>
            </w:r>
          </w:p>
        </w:tc>
        <w:tc>
          <w:tcPr>
            <w:tcW w:type="pct" w:w="45%"/>
          </w:tcPr>
          <w:p>
            <w:r>
              <w:rPr>
                <w:b w:val="false"/>
                <w:bCs w:val="false"/>
                <w:sz w:val="18"/>
                <w:szCs w:val="18"/>
              </w:rPr>
              <w:t xml:space="preserve">The patient and/or family members are explained about the expected costs.</w:t>
            </w:r>
          </w:p>
        </w:tc>
        <w:tc>
          <w:tcPr>
            <w:tcW w:type="pct" w:w="20%"/>
          </w:tcPr>
          <w:p>
            <w:r>
              <w:rPr>
                <w:b w:val="false"/>
                <w:bCs w:val="false"/>
                <w:sz w:val="18"/>
                <w:szCs w:val="18"/>
              </w:rPr>
              <w:t xml:space="preserve">Steps 3, 1, 5</w:t>
            </w:r>
          </w:p>
        </w:tc>
        <w:tc>
          <w:tcPr>
            <w:tcW w:type="pct" w:w="20%"/>
          </w:tcPr>
          <w:p>
            <w:r>
              <w:rPr>
                <w:b w:val="false"/>
                <w:bCs w:val="false"/>
                <w:sz w:val="18"/>
                <w:szCs w:val="18"/>
              </w:rPr>
              <w:t xml:space="preserve">Named staff explain expected costs; named lead holds the method; quality or accreditation coordinator audits</w:t>
            </w:r>
          </w:p>
        </w:tc>
      </w:tr>
      <w:tr>
        <w:tc>
          <w:tcPr>
            <w:tcW w:type="pct" w:w="15%"/>
          </w:tcPr>
          <w:p>
            <w:r>
              <w:rPr>
                <w:b w:val="false"/>
                <w:bCs w:val="false"/>
                <w:sz w:val="18"/>
                <w:szCs w:val="18"/>
              </w:rPr>
              <w:t xml:space="preserve">PRE.5.d</w:t>
            </w:r>
          </w:p>
        </w:tc>
        <w:tc>
          <w:tcPr>
            <w:tcW w:type="pct" w:w="45%"/>
          </w:tcPr>
          <w:p>
            <w:r>
              <w:rPr>
                <w:b w:val="false"/>
                <w:bCs w:val="false"/>
                <w:sz w:val="18"/>
                <w:szCs w:val="18"/>
              </w:rPr>
              <w:t xml:space="preserve">Patient and/or family are informed about the financial implications when there is a change in the care plan.</w:t>
            </w:r>
          </w:p>
        </w:tc>
        <w:tc>
          <w:tcPr>
            <w:tcW w:type="pct" w:w="20%"/>
          </w:tcPr>
          <w:p>
            <w:r>
              <w:rPr>
                <w:b w:val="false"/>
                <w:bCs w:val="false"/>
                <w:sz w:val="18"/>
                <w:szCs w:val="18"/>
              </w:rPr>
              <w:t xml:space="preserve">Steps 4, 5</w:t>
            </w:r>
          </w:p>
        </w:tc>
        <w:tc>
          <w:tcPr>
            <w:tcW w:type="pct" w:w="20%"/>
          </w:tcPr>
          <w:p>
            <w:r>
              <w:rPr>
                <w:b w:val="false"/>
                <w:bCs w:val="false"/>
                <w:sz w:val="18"/>
                <w:szCs w:val="18"/>
              </w:rPr>
              <w:t xml:space="preserve">Staff who know the plan changed cost tell the family; clinicians own the clinical change;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CEA</w:t>
            </w:r>
          </w:p>
        </w:tc>
        <w:tc>
          <w:tcPr>
            <w:tcW w:type="pct" w:w="75%"/>
          </w:tcPr>
          <w:p>
            <w:r>
              <w:rPr>
                <w:b w:val="false"/>
                <w:bCs w:val="false"/>
                <w:sz w:val="18"/>
                <w:szCs w:val="18"/>
              </w:rPr>
              <w:t xml:space="preserve">Clinical Establishments Act, 2010</w:t>
            </w:r>
          </w:p>
        </w:tc>
      </w:tr>
      <w:tr>
        <w:tc>
          <w:tcPr>
            <w:tcW w:type="pct" w:w="25%"/>
          </w:tcPr>
          <w:p>
            <w:r>
              <w:rPr>
                <w:b w:val="false"/>
                <w:bCs w:val="false"/>
                <w:sz w:val="18"/>
                <w:szCs w:val="18"/>
              </w:rPr>
              <w:t xml:space="preserve">ICU</w:t>
            </w:r>
          </w:p>
        </w:tc>
        <w:tc>
          <w:tcPr>
            <w:tcW w:type="pct" w:w="75%"/>
          </w:tcPr>
          <w:p>
            <w:r>
              <w:rPr>
                <w:b w:val="false"/>
                <w:bCs w:val="false"/>
                <w:sz w:val="18"/>
                <w:szCs w:val="18"/>
              </w:rPr>
              <w:t xml:space="preserve">intensive care unit</w:t>
            </w:r>
          </w:p>
        </w:tc>
      </w:tr>
      <w:tr>
        <w:tc>
          <w:tcPr>
            <w:tcW w:type="pct" w:w="25%"/>
          </w:tcPr>
          <w:p>
            <w:r>
              <w:rPr>
                <w:b w:val="false"/>
                <w:bCs w:val="false"/>
                <w:sz w:val="18"/>
                <w:szCs w:val="18"/>
              </w:rPr>
              <w:t xml:space="preserve">ROM</w:t>
            </w:r>
          </w:p>
        </w:tc>
        <w:tc>
          <w:tcPr>
            <w:tcW w:type="pct" w:w="75%"/>
          </w:tcPr>
          <w:p>
            <w:r>
              <w:rPr>
                <w:b w:val="false"/>
                <w:bCs w:val="false"/>
                <w:sz w:val="18"/>
                <w:szCs w:val="18"/>
              </w:rPr>
              <w:t xml:space="preserve">Resource Management (NABH chapter; not yet drafted)</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makes patients and families aware of the pricing policy in different settings; how the relevant tariff list is available to patients; how expected costs are explained; and how they are informed of the financial implications when the care plan changes.
The chapter intent is that expected costs of treatment and care are explained clearly. A tariff in the accounts office that the family never sees, or a package price that silently grows when the plan changes, is not that intent.
This document is patient-facing cost information. It is not the billing ledger, the accounts process, or a facility-management tariff file. Those remain ROM/FMS when drafted.</w:t>
      </w:r>
    </w:p>
    <w:p>
      <w:pPr>
        <w:pStyle w:val="Heading1"/>
        <w:spacing w:after="150" w:before="300"/>
      </w:pPr>
      <w:r>
        <w:t xml:space="preserve">2. Scope</w:t>
      </w:r>
    </w:p>
    <w:p>
      <w:pPr>
        <w:spacing w:after="150"/>
      </w:pPr>
      <w:r>
        <w:rPr>
          <w:sz w:val="22"/>
          <w:szCs w:val="22"/>
        </w:rPr>
        <w:t xml:space="preserve">This policy applies to every setting in which a patient at HMP Foundation incurs or may incur a charge: out-patient, emergency, ICU where it exists, and in-patient. It binds the staff who explain prices, who make the tariff list available, and who tell the family when a change in the care plan changes the cost.
It covers: awareness of the pricing policy in different settings; availability of the relevant tariff list; explanation of expected costs; and information on financial implications when the care plan changes.
Boundaries with other policies of HMP Foundation:
- The right to information on expected cost of treatment is listed under PRE.2.i. This document owns the pricing policy, the tariff list and the explanation. PRE.2 does not write the tariff.
- Promotion of that right is PRE.1.b. This document owns the figures and the explanation.
- Care-plan changes as a clinical act are governed by the assessment and care-planning policies of HMP Foundation (AAC.3) and by PRE.2.o (care plan prepared and modified in consultation). This document owns only the financial implications of that change.
- Discharge-summary medication and follow-up instructions are AAC.8. This document does not put a bill on the discharge summary unless this hospital has defined that; AAC.8 does not own expected-cost explanation at admission.
- Billing, accounts, insurance claims and facility tariffs as a finance function are governed by ROM/FMS policies of HMP Foundation (not yet drafted). This document owns what the patient and family are told. It does not write the ledger, the GST treatment, or a package-contract with a payer.
- Informed consent (PRE.3) is not a substitute for cost explanation, and a signed consent is not agreement to an unnamed bill.</w:t>
      </w:r>
    </w:p>
    <w:p>
      <w:pPr>
        <w:pStyle w:val="Heading1"/>
        <w:spacing w:after="150" w:before="300"/>
      </w:pPr>
      <w:r>
        <w:t xml:space="preserve">3. Policy Statement</w:t>
      </w:r>
    </w:p>
    <w:p>
      <w:pPr>
        <w:spacing w:after="150"/>
      </w:pPr>
      <w:r>
        <w:rPr>
          <w:sz w:val="22"/>
          <w:szCs w:val="22"/>
        </w:rPr>
        <w:t xml:space="preserve">HMP Foundation makes the patient and/or family members aware of the pricing policy in out-patient, emergency, ICU (where it exists) and in-patient settings.
HMP Foundation makes the relevant tariff list available to patients.
HMP Foundation explains expected costs to the patient and/or family members.
HMP Foundation informs the patient and/or family about the financial implications when there is a change in the care plan.
HMP Foundation does not treat a signed consent, or a tariff locked in accounts, as a substitute for that explanation.</w:t>
      </w:r>
    </w:p>
    <w:p>
      <w:pPr>
        <w:pStyle w:val="Heading1"/>
        <w:spacing w:after="150" w:before="300"/>
      </w:pPr>
      <w:r>
        <w:t xml:space="preserve">4. Procedure</w:t>
      </w:r>
    </w:p>
    <w:p>
      <w:pPr>
        <w:spacing w:after="90" w:before="240"/>
      </w:pPr>
      <w:r>
        <w:rPr>
          <w:b/>
          <w:bCs/>
          <w:sz w:val="23"/>
          <w:szCs w:val="23"/>
        </w:rPr>
        <w:t xml:space="preserve">1. Pricing policy in different settings (PRE.5.a, PRE.5.b, PRE.5.c)</w:t>
      </w:r>
    </w:p>
    <w:p>
      <w:pPr>
        <w:spacing w:after="120"/>
      </w:pPr>
      <w:r>
        <w:rPr>
          <w:sz w:val="22"/>
          <w:szCs w:val="22"/>
        </w:rPr>
        <w:t xml:space="preserve">The patient and/or family members are made aware of the pricing policy in different settings (out-patient, emergency, ICU and in-patient).</w:t>
      </w:r>
    </w:p>
    <w:p>
      <w:pPr>
        <w:spacing w:after="120"/>
      </w:pPr>
      <w:r>
        <w:rPr>
          <w:sz w:val="22"/>
          <w:szCs w:val="22"/>
        </w:rPr>
        <w:t xml:space="preserve">The pricing policy for each of those settings this hospital actually runs — what is charged how (for example itemised, package, or a mix), and how the family is made aware of that policy — is [Hospital to define — the pricing policy for out-patient, emergency, ICU where it exists, and in-patient, and how patients and families are made aware of it]. A setting the service directory does not provide (for example ICU) is a recorded absence, not a copied ICU package tariff. Emergency awareness may follow stabilisation; the delay and the reason are recorded.</w:t>
      </w:r>
    </w:p>
    <w:p>
      <w:pPr>
        <w:spacing w:after="120"/>
      </w:pPr>
      <w:r>
        <w:rPr>
          <w:sz w:val="22"/>
          <w:szCs w:val="22"/>
        </w:rPr>
        <w:t xml:space="preserve">This step does not print rupee figures as a NABH mandate.</w:t>
      </w:r>
    </w:p>
    <w:p>
      <w:pPr>
        <w:spacing w:after="90" w:before="240"/>
      </w:pPr>
      <w:r>
        <w:rPr>
          <w:b/>
          <w:bCs/>
          <w:sz w:val="23"/>
          <w:szCs w:val="23"/>
        </w:rPr>
        <w:t xml:space="preserve">2. Relevant tariff list available to patients (PRE.5.b)</w:t>
      </w:r>
    </w:p>
    <w:p>
      <w:pPr>
        <w:spacing w:after="120"/>
      </w:pPr>
      <w:r>
        <w:rPr>
          <w:sz w:val="22"/>
          <w:szCs w:val="22"/>
        </w:rPr>
        <w:t xml:space="preserve">The relevant tariff list is available to patients.</w:t>
      </w:r>
    </w:p>
    <w:p>
      <w:pPr>
        <w:spacing w:after="120"/>
      </w:pPr>
      <w:r>
        <w:rPr>
          <w:sz w:val="22"/>
          <w:szCs w:val="22"/>
        </w:rPr>
        <w:t xml:space="preserve">Where the tariff list is held so that a patient can see the relevant part, and which list is 'relevant' in each setting, are [Hospital to define — where the relevant tariff list is available to patients, and which list applies in each setting]. Availability means a patient or family can see it without an accounts-office escort as the only route. A list only in the finance folder is not available to patients.</w:t>
      </w:r>
    </w:p>
    <w:p>
      <w:pPr>
        <w:spacing w:after="120"/>
      </w:pPr>
      <w:r>
        <w:rPr>
          <w:sz w:val="22"/>
          <w:szCs w:val="22"/>
        </w:rPr>
        <w:t xml:space="preserve">Where the State has adopted the Clinical Establishments Act, 2010, the Clinical Establishments (Central Government) Rules, 2012 display-of-rates requirements inform this availability. They are not pasted as a board layout, and they are not applied as if the State had adopted the Act when it has not. Whether this hospital's State has adopted that Act, and how display then meets those rules, are [Hospital to define — whether the Clinical Establishments Act, 2010 has been adopted in this State, and how tariff display meets the 2012 Rules if it has].</w:t>
      </w:r>
    </w:p>
    <w:p>
      <w:pPr>
        <w:spacing w:after="90" w:before="240"/>
      </w:pPr>
      <w:r>
        <w:rPr>
          <w:b/>
          <w:bCs/>
          <w:sz w:val="23"/>
          <w:szCs w:val="23"/>
        </w:rPr>
        <w:t xml:space="preserve">3. Expected costs explained (PRE.5.c)</w:t>
      </w:r>
    </w:p>
    <w:p>
      <w:pPr>
        <w:spacing w:after="120"/>
      </w:pPr>
      <w:r>
        <w:rPr>
          <w:sz w:val="22"/>
          <w:szCs w:val="22"/>
        </w:rPr>
        <w:t xml:space="preserve">The patient and/or family members are explained about the expected costs.</w:t>
      </w:r>
    </w:p>
    <w:p>
      <w:pPr>
        <w:spacing w:after="120"/>
      </w:pPr>
      <w:r>
        <w:rPr>
          <w:sz w:val="22"/>
          <w:szCs w:val="22"/>
        </w:rPr>
        <w:t xml:space="preserve">How expected costs are explained — when, by whom, and how the explanation is recorded — is [Hospital to define — how expected costs are explained, when, by whom, and how the explanation is recorded]. Explanation is in a language they can understand. A range or a package with what it includes and what it does not is an explanation; a sentence that says "charges extra" without a figure or a route to the tariff is not.</w:t>
      </w:r>
    </w:p>
    <w:p>
      <w:pPr>
        <w:spacing w:after="120"/>
      </w:pPr>
      <w:r>
        <w:rPr>
          <w:sz w:val="22"/>
          <w:szCs w:val="22"/>
        </w:rPr>
        <w:t xml:space="preserve">The Consumer Protection Act, 2019 informs that a consumer of a healthcare service is entitled not to be misled on price. This document does not copy District Commission procedure.</w:t>
      </w:r>
    </w:p>
    <w:p>
      <w:pPr>
        <w:spacing w:after="90" w:before="240"/>
      </w:pPr>
      <w:r>
        <w:rPr>
          <w:b/>
          <w:bCs/>
          <w:sz w:val="23"/>
          <w:szCs w:val="23"/>
        </w:rPr>
        <w:t xml:space="preserve">4. Financial implications when the care plan changes (PRE.5.d)</w:t>
      </w:r>
    </w:p>
    <w:p>
      <w:pPr>
        <w:spacing w:after="120"/>
      </w:pPr>
      <w:r>
        <w:rPr>
          <w:sz w:val="22"/>
          <w:szCs w:val="22"/>
        </w:rPr>
        <w:t xml:space="preserve">Patient and/or family are informed about the financial implications when there is a change in the care plan.</w:t>
      </w:r>
    </w:p>
    <w:p>
      <w:pPr>
        <w:spacing w:after="120"/>
      </w:pPr>
      <w:r>
        <w:rPr>
          <w:sz w:val="22"/>
          <w:szCs w:val="22"/>
        </w:rPr>
        <w:t xml:space="preserve">How that information is given when the plan changes, and how it is recorded, are [Hospital to define — how patients and families are informed of the financial implications of a care-plan change, and how that is recorded]. A change that does not change cost is recorded as such if the hospital's method requires it. A change that increases cost and is not told is a defect. Clinical modification of the plan remains AAC.3 / PRE.2.o; this step is the money.</w:t>
      </w:r>
    </w:p>
    <w:p>
      <w:pPr>
        <w:spacing w:after="90" w:before="240"/>
      </w:pPr>
      <w:r>
        <w:rPr>
          <w:b/>
          <w:bCs/>
          <w:sz w:val="23"/>
          <w:szCs w:val="23"/>
        </w:rPr>
        <w:t xml:space="preserve">5. Records, review and the order of operations (PRE.5.a, PRE.5.b, PRE.5.c, PRE.5.d)</w:t>
      </w:r>
    </w:p>
    <w:p>
      <w:pPr>
        <w:spacing w:after="120"/>
      </w:pPr>
      <w:r>
        <w:rPr>
          <w:sz w:val="22"/>
          <w:szCs w:val="22"/>
        </w:rPr>
        <w:t xml:space="preserve">The pricing policy, the tariff-availability method, expected-cost explanations, and financial-implication notices when the plan changes, are retrievable.</w:t>
      </w:r>
    </w:p>
    <w:p>
      <w:pPr>
        <w:spacing w:after="120"/>
      </w:pPr>
      <w:r>
        <w:rPr>
          <w:sz w:val="22"/>
          <w:szCs w:val="22"/>
        </w:rPr>
        <w:t xml:space="preserve">The quality or accreditation coordinator audits a sample of these records at [Hospital to define — the audit interval for expected-cost information records] for: awareness of the pricing policy in the settings this hospital runs; a tariff list a patient can actually see; expected-cost explanation recorded; financial implications told when the plan changed cost; and no signed consent offered as the cost conversation.</w:t>
      </w:r>
    </w:p>
    <w:p>
      <w:pPr>
        <w:spacing w:after="120"/>
      </w:pPr>
      <w:r>
        <w:rPr>
          <w:sz w:val="22"/>
          <w:szCs w:val="22"/>
        </w:rPr>
        <w:t xml:space="preserve">This policy is reviewed at [Hospital to define — the review interval for this policy], and sooner when a family was billed against a plan they were not told had changed, or a tariff was only in accounts, or when ROM/FMS billing policies or PRE.2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telling patients and families the pricing policy, making the tariff available, explaining expected costs, and telling them when a care-plan change changes the bill.
The named lead for expected-cost information authors and keeps current the pricing policy, the tariff-availability method and the explanation method. The named lead is [Hospital to define — the named lead for expected-cost information].
Staff who admit, who explain packages, and who tell a family of a plan change that changes cost, apply those methods. Finance/accounts produce the tariff; they do not replace the explanation to the family.
The quality or accreditation coordinator audits the records at step 5 and reports findings to the head of the institution.
All staff are expected to treat a hidden tariff and an unexplained increase when the plan changed,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Patient Rights and Education chapter, standard PRE.5.
- Consumer Protection Act, 2019 — insofar as a consumer of a healthcare service is entitled not to be misled on price; this document does not copy District Commission procedure.
- Clinical Establishments Act, 2010, and the Clinical Establishments (Central Government) Rules, 2012, insofar as the State has adopted that Act and those rules require display of rates. Not applied as if the State had adopted the Act when it has not. Not pasted as a board layout.
- Internal documents of HMP Foundation: the pricing policy; the tariff list and where it is available; the expected-cost explanation method; the care-plan-change financial-implication method; the beliefs-values policy; the consent policy; the assessment policy; and ROM/FMS billing policies when drafted.</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registration and billing/accounts; out-patient; emergency; in-patient wards; ICU where it exists; nursing administration; and the named lead.
The current version is available to all staff at [Hospital to define — intranet location or nursing station folder]. The pricing policy and the tariff list — the working documents this policy requires — are held where patients are admitted and billed.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PRE.5.a — The patient and/or family members are made aware of the pricing policy in different settings (out-patient, emergency, ICU and in-patient).</w:t>
      </w:r>
    </w:p>
    <w:p>
      <w:pPr>
        <w:pStyle w:val="ListParagraph"/>
        <w:numPr>
          <w:ilvl w:val="0"/>
          <w:numId w:val="1"/>
        </w:numPr>
        <w:spacing w:after="60"/>
      </w:pPr>
      <w:r>
        <w:rPr>
          <w:sz w:val="22"/>
          <w:szCs w:val="22"/>
        </w:rPr>
        <w:t xml:space="preserve">The written pricing policy for each setting this hospital runs, or a recorded absence for a setting it does not (for example ICU)</w:t>
      </w:r>
    </w:p>
    <w:p>
      <w:pPr>
        <w:pStyle w:val="ListParagraph"/>
        <w:numPr>
          <w:ilvl w:val="0"/>
          <w:numId w:val="1"/>
        </w:numPr>
        <w:spacing w:after="60"/>
      </w:pPr>
      <w:r>
        <w:rPr>
          <w:sz w:val="22"/>
          <w:szCs w:val="22"/>
        </w:rPr>
        <w:t xml:space="preserve">the method of making patients and families aware</w:t>
      </w:r>
    </w:p>
    <w:p>
      <w:pPr>
        <w:pStyle w:val="ListParagraph"/>
        <w:numPr>
          <w:ilvl w:val="0"/>
          <w:numId w:val="1"/>
        </w:numPr>
        <w:spacing w:after="60"/>
      </w:pPr>
      <w:r>
        <w:rPr>
          <w:sz w:val="22"/>
          <w:szCs w:val="22"/>
        </w:rPr>
        <w:t xml:space="preserve">sample records of awareness at those settings, including delayed emergency awareness with reason</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PRE.5.b — The relevant tariff list is available to patients.</w:t>
      </w:r>
    </w:p>
    <w:p>
      <w:pPr>
        <w:pStyle w:val="ListParagraph"/>
        <w:numPr>
          <w:ilvl w:val="0"/>
          <w:numId w:val="1"/>
        </w:numPr>
        <w:spacing w:after="60"/>
      </w:pPr>
      <w:r>
        <w:rPr>
          <w:sz w:val="22"/>
          <w:szCs w:val="22"/>
        </w:rPr>
        <w:t xml:space="preserve">Where the relevant tariff list is available to patients in each setting, showing a route that is not only an accounts-office escort</w:t>
      </w:r>
    </w:p>
    <w:p>
      <w:pPr>
        <w:pStyle w:val="ListParagraph"/>
        <w:numPr>
          <w:ilvl w:val="0"/>
          <w:numId w:val="1"/>
        </w:numPr>
        <w:spacing w:after="60"/>
      </w:pPr>
      <w:r>
        <w:rPr>
          <w:sz w:val="22"/>
          <w:szCs w:val="22"/>
        </w:rPr>
        <w:t xml:space="preserve">the recorded decision whether CEA 2010 is adopted in this State and how display meets the 2012 Rules if it is, rather than a copied CEA board in a State that has not adopted the Act</w:t>
      </w:r>
    </w:p>
    <w:p>
      <w:pPr>
        <w:pStyle w:val="ListParagraph"/>
        <w:numPr>
          <w:ilvl w:val="0"/>
          <w:numId w:val="1"/>
        </w:numPr>
        <w:spacing w:after="60"/>
      </w:pPr>
      <w:r>
        <w:rPr>
          <w:sz w:val="22"/>
          <w:szCs w:val="22"/>
        </w:rPr>
        <w:t xml:space="preserve">the audit sample at step 5 of a list a patient can actually see</w:t>
      </w:r>
    </w:p>
    <w:p>
      <w:pPr>
        <w:spacing w:after="90" w:before="200"/>
      </w:pPr>
      <w:r>
        <w:rPr>
          <w:b/>
          <w:bCs/>
          <w:sz w:val="22"/>
          <w:szCs w:val="22"/>
        </w:rPr>
        <w:t xml:space="preserve">PRE.5.c — The patient and/or family members are explained about the expected costs.</w:t>
      </w:r>
    </w:p>
    <w:p>
      <w:pPr>
        <w:pStyle w:val="ListParagraph"/>
        <w:numPr>
          <w:ilvl w:val="0"/>
          <w:numId w:val="1"/>
        </w:numPr>
        <w:spacing w:after="60"/>
      </w:pPr>
      <w:r>
        <w:rPr>
          <w:sz w:val="22"/>
          <w:szCs w:val="22"/>
        </w:rPr>
        <w:t xml:space="preserve">The written explanation method (when, by whom, how recorded)</w:t>
      </w:r>
    </w:p>
    <w:p>
      <w:pPr>
        <w:pStyle w:val="ListParagraph"/>
        <w:numPr>
          <w:ilvl w:val="0"/>
          <w:numId w:val="1"/>
        </w:numPr>
        <w:spacing w:after="60"/>
      </w:pPr>
      <w:r>
        <w:rPr>
          <w:sz w:val="22"/>
          <w:szCs w:val="22"/>
        </w:rPr>
        <w:t xml:space="preserve">sample explanations against the unique identification number showing a range or package with inclusions/exclusions rather than only 'charges extra'</w:t>
      </w:r>
    </w:p>
    <w:p>
      <w:pPr>
        <w:pStyle w:val="ListParagraph"/>
        <w:numPr>
          <w:ilvl w:val="0"/>
          <w:numId w:val="1"/>
        </w:numPr>
        <w:spacing w:after="60"/>
      </w:pPr>
      <w:r>
        <w:rPr>
          <w:sz w:val="22"/>
          <w:szCs w:val="22"/>
        </w:rPr>
        <w:t xml:space="preserve">the recorded statement that a signed consent is not this explanation</w:t>
      </w:r>
    </w:p>
    <w:p>
      <w:pPr>
        <w:pStyle w:val="ListParagraph"/>
        <w:numPr>
          <w:ilvl w:val="0"/>
          <w:numId w:val="1"/>
        </w:numPr>
        <w:spacing w:after="60"/>
      </w:pPr>
      <w:r>
        <w:rPr>
          <w:sz w:val="22"/>
          <w:szCs w:val="22"/>
        </w:rPr>
        <w:t xml:space="preserve">the audit sample at step 5</w:t>
      </w:r>
    </w:p>
    <w:p>
      <w:pPr>
        <w:spacing w:after="90" w:before="200"/>
      </w:pPr>
      <w:r>
        <w:rPr>
          <w:b/>
          <w:bCs/>
          <w:sz w:val="22"/>
          <w:szCs w:val="22"/>
        </w:rPr>
        <w:t xml:space="preserve">PRE.5.d — Patient and/or family are informed about the financial implications when there is a change in the care plan.</w:t>
      </w:r>
    </w:p>
    <w:p>
      <w:pPr>
        <w:pStyle w:val="ListParagraph"/>
        <w:numPr>
          <w:ilvl w:val="0"/>
          <w:numId w:val="1"/>
        </w:numPr>
        <w:spacing w:after="60"/>
      </w:pPr>
      <w:r>
        <w:rPr>
          <w:sz w:val="22"/>
          <w:szCs w:val="22"/>
        </w:rPr>
        <w:t xml:space="preserve">The written method for informing of financial implications when the care plan changes</w:t>
      </w:r>
    </w:p>
    <w:p>
      <w:pPr>
        <w:pStyle w:val="ListParagraph"/>
        <w:numPr>
          <w:ilvl w:val="0"/>
          <w:numId w:val="1"/>
        </w:numPr>
        <w:spacing w:after="60"/>
      </w:pPr>
      <w:r>
        <w:rPr>
          <w:sz w:val="22"/>
          <w:szCs w:val="22"/>
        </w:rPr>
        <w:t xml:space="preserve">sample records of plan changes that changed cost being told</w:t>
      </w:r>
    </w:p>
    <w:p>
      <w:pPr>
        <w:pStyle w:val="ListParagraph"/>
        <w:numPr>
          <w:ilvl w:val="0"/>
          <w:numId w:val="1"/>
        </w:numPr>
        <w:spacing w:after="60"/>
      </w:pPr>
      <w:r>
        <w:rPr>
          <w:sz w:val="22"/>
          <w:szCs w:val="22"/>
        </w:rPr>
        <w:t xml:space="preserve">the recorded split that AAC.3/PRE.2.o own the clinical modification</w:t>
      </w:r>
    </w:p>
    <w:p>
      <w:pPr>
        <w:pStyle w:val="ListParagraph"/>
        <w:numPr>
          <w:ilvl w:val="0"/>
          <w:numId w:val="1"/>
        </w:numPr>
        <w:spacing w:after="60"/>
      </w:pPr>
      <w:r>
        <w:rPr>
          <w:sz w:val="22"/>
          <w:szCs w:val="22"/>
        </w:rPr>
        <w:t xml:space="preserve">the audit sample at step 5</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Consumer Protection Act, 2019, insofar as a consumer of a healthcare service is entitled not to be misled on price, and the Clinical Establishments Act, 2010 and the Clinical Establishments (Central Government) Rules, 2012, insofar as the State has adopted that Act and those rules require display of rates.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HMP/PRE/POL-5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2026-08-17T14:11:25.138Z</dcterms:created>
  <dcterms:modified xsi:type="dcterms:W3CDTF">2026-08-17T14:11:25.138Z</dcterms:modified>
</cp:coreProperties>
</file>

<file path=docProps/custom.xml><?xml version="1.0" encoding="utf-8"?>
<Properties xmlns="http://schemas.openxmlformats.org/officeDocument/2006/custom-properties" xmlns:vt="http://schemas.openxmlformats.org/officeDocument/2006/docPropsVTypes"/>
</file>