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01 — Registration and admission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Patient ID: The unique identifier assigned at registration.</w:t>
      </w:r>
    </w:p>
    <w:p>
      <w:pPr>
        <w:pStyle w:val="ListParagraph"/>
      </w:pPr>
      <w:r>
        <w:t>Patient Name: Full name.</w:t>
      </w:r>
    </w:p>
    <w:p>
      <w:pPr>
        <w:pStyle w:val="ListParagraph"/>
      </w:pPr>
      <w:r>
        <w:t>Registration Date/Time: When registration occurred.</w:t>
      </w:r>
    </w:p>
    <w:p>
      <w:pPr>
        <w:pStyle w:val="ListParagraph"/>
      </w:pPr>
      <w:r>
        <w:t>Admission Type: OPD, day-care, or in-patient.</w:t>
      </w:r>
    </w:p>
    <w:p>
      <w:pPr>
        <w:pStyle w:val="ListParagraph"/>
      </w:pPr>
      <w:r>
        <w:t>Admitting Department / Clinician: Where and by whom the patient was admitted.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running log of every patient registered and, where applicable, admitted — the organisation's basic proof of a consistent intake mechanism.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staff log every patient at first contact. The worked example shows an in-patient admission with the admitting clinician named.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process with no log cannot be shown to be consistent or complete — this record is the evidence the mechanism is actually followed, patient by patient.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Patient ID</w:t>
            </w:r>
          </w:p>
        </w:tc>
        <w:tc>
          <w:tcPr>
            <w:tcW w:type="dxa" w:w="1728"/>
          </w:tcPr>
          <w:p>
            <w:r>
              <w:t>Patient Name</w:t>
            </w:r>
          </w:p>
        </w:tc>
        <w:tc>
          <w:tcPr>
            <w:tcW w:type="dxa" w:w="1728"/>
          </w:tcPr>
          <w:p>
            <w:r>
              <w:t>Registration Date/Time</w:t>
            </w:r>
          </w:p>
        </w:tc>
        <w:tc>
          <w:tcPr>
            <w:tcW w:type="dxa" w:w="1728"/>
          </w:tcPr>
          <w:p>
            <w:r>
              <w:t>Admission Type</w:t>
            </w:r>
          </w:p>
        </w:tc>
        <w:tc>
          <w:tcPr>
            <w:tcW w:type="dxa" w:w="1728"/>
          </w:tcPr>
          <w:p>
            <w:r>
              <w:t>Admitting Department / Clinician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SHC-2026-00142</w:t>
            </w:r>
          </w:p>
        </w:tc>
        <w:tc>
          <w:tcPr>
            <w:tcW w:type="dxa" w:w="1728"/>
            <w:shd w:val="clear" w:color="auto" w:fill="FFF2CC"/>
          </w:tcPr>
          <w:p>
            <w:r>
              <w:t>Mrs. Lata Patil</w:t>
            </w:r>
          </w:p>
        </w:tc>
        <w:tc>
          <w:tcPr>
            <w:tcW w:type="dxa" w:w="1728"/>
            <w:shd w:val="clear" w:color="auto" w:fill="FFF2CC"/>
          </w:tcPr>
          <w:p>
            <w:r>
              <w:t>14-Feb-2026 / 10:05</w:t>
            </w:r>
          </w:p>
        </w:tc>
        <w:tc>
          <w:tcPr>
            <w:tcW w:type="dxa" w:w="1728"/>
            <w:shd w:val="clear" w:color="auto" w:fill="FFF2CC"/>
          </w:tcPr>
          <w:p>
            <w:r>
              <w:t>In-patient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General Medicine / Dr. S. Rao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