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AAC.2.e — Access to the healthcare services in the organization is prioritized according to the clinical needs of the patient.</w:t>
      </w:r>
    </w:p>
    <w:p>
      <w:r>
        <w:t>AAC.2 Record 03 — Clinical prioritization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the prioritization decision was made.</w:t>
      </w:r>
    </w:p>
    <w:p>
      <w:pPr>
        <w:pStyle w:val="ListParagraph"/>
      </w:pPr>
      <w:r>
        <w:t>Patient: Patient name or ID.</w:t>
      </w:r>
    </w:p>
    <w:p>
      <w:pPr>
        <w:pStyle w:val="ListParagraph"/>
      </w:pPr>
      <w:r>
        <w:t>Urgency Category: Emergency, urgent, or routine.</w:t>
      </w:r>
    </w:p>
    <w:p>
      <w:pPr>
        <w:pStyle w:val="ListParagraph"/>
      </w:pPr>
      <w:r>
        <w:t>Clinical Basis: The reason for this category.</w:t>
      </w:r>
    </w:p>
    <w:p>
      <w:pPr>
        <w:pStyle w:val="ListParagraph"/>
      </w:pPr>
      <w:r>
        <w:t>Decided By: The clinician or triage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shows, case by case, that access was actually prioritized by clinical urgency and not by who arrived first.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Triage staff or the treating clinician log this for every emergency or urgent case. The worked example shows a chest-pain patient correctly prioritized as an emergency.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prioritization policy with no record of how individual cases were actually categorized cannot be checked against what really happened at the point of care.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Urgency Category</w:t>
            </w:r>
          </w:p>
        </w:tc>
        <w:tc>
          <w:tcPr>
            <w:tcW w:type="dxa" w:w="1728"/>
          </w:tcPr>
          <w:p>
            <w:r>
              <w:t>Clinical Basis</w:t>
            </w:r>
          </w:p>
        </w:tc>
        <w:tc>
          <w:tcPr>
            <w:tcW w:type="dxa" w:w="1728"/>
          </w:tcPr>
          <w:p>
            <w:r>
              <w:t>Decided By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03-Mar-2026 / 14:20</w:t>
            </w:r>
          </w:p>
        </w:tc>
        <w:tc>
          <w:tcPr>
            <w:tcW w:type="dxa" w:w="1728"/>
            <w:shd w:val="clear" w:color="auto" w:fill="FFF2CC"/>
          </w:tcPr>
          <w:p>
            <w:r>
              <w:t>SHC-2026-00201</w:t>
            </w:r>
          </w:p>
        </w:tc>
        <w:tc>
          <w:tcPr>
            <w:tcW w:type="dxa" w:w="1728"/>
            <w:shd w:val="clear" w:color="auto" w:fill="FFF2CC"/>
          </w:tcPr>
          <w:p>
            <w:r>
              <w:t>Emergency</w:t>
            </w:r>
          </w:p>
        </w:tc>
        <w:tc>
          <w:tcPr>
            <w:tcW w:type="dxa" w:w="1728"/>
            <w:shd w:val="clear" w:color="auto" w:fill="FFF2CC"/>
          </w:tcPr>
          <w:p>
            <w:r>
              <w:t>Chest pain with ECG changes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A. Khan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