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AAC.2.f — Transfer–in and transfer-out / referral of patients to the organization is done appropriately.</w:t>
      </w:r>
    </w:p>
    <w:p>
      <w:r>
        <w:t>AAC.2 Record 04 — Transfer and referral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Date/Time: When the transfer or referral occurred.</w:t>
      </w:r>
    </w:p>
    <w:p>
      <w:pPr>
        <w:pStyle w:val="ListParagraph"/>
      </w:pPr>
      <w:r>
        <w:t>Patient: Patient name or ID.</w:t>
      </w:r>
    </w:p>
    <w:p>
      <w:pPr>
        <w:pStyle w:val="ListParagraph"/>
      </w:pPr>
      <w:r>
        <w:t>Direction: Transfer-in, transfer-out, or referral.</w:t>
      </w:r>
    </w:p>
    <w:p>
      <w:pPr>
        <w:pStyle w:val="ListParagraph"/>
      </w:pPr>
      <w:r>
        <w:t>Facility: The other facility involved.</w:t>
      </w:r>
    </w:p>
    <w:p>
      <w:pPr>
        <w:pStyle w:val="ListParagraph"/>
      </w:pPr>
      <w:r>
        <w:t>Summary Accompanied Patient (Y/N): Whether a written summary went with the patient.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Access, Assessment and Care of Patients chapter, standard AAC.2.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logs every patient transfer and referral in or out of the organisation, confirming a written summary travelled with the patient.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Nursing staff log this at the time of transfer. The worked example shows an out-transfer for tertiary cardiac care with a summary confirmed sent.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transfer with no log and no confirmed summary cannot be shown to have preserved continuity of care across the handover — this record is that proof.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Date/Time</w:t>
            </w:r>
          </w:p>
        </w:tc>
        <w:tc>
          <w:tcPr>
            <w:tcW w:type="dxa" w:w="1728"/>
          </w:tcPr>
          <w:p>
            <w:r>
              <w:t>Patient</w:t>
            </w:r>
          </w:p>
        </w:tc>
        <w:tc>
          <w:tcPr>
            <w:tcW w:type="dxa" w:w="1728"/>
          </w:tcPr>
          <w:p>
            <w:r>
              <w:t>Direction</w:t>
            </w:r>
          </w:p>
        </w:tc>
        <w:tc>
          <w:tcPr>
            <w:tcW w:type="dxa" w:w="1728"/>
          </w:tcPr>
          <w:p>
            <w:r>
              <w:t>Facility</w:t>
            </w:r>
          </w:p>
        </w:tc>
        <w:tc>
          <w:tcPr>
            <w:tcW w:type="dxa" w:w="1728"/>
          </w:tcPr>
          <w:p>
            <w:r>
              <w:t>Summary Accompanied Patient (Y/N)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28-Feb-2026 / 09:15</w:t>
            </w:r>
          </w:p>
        </w:tc>
        <w:tc>
          <w:tcPr>
            <w:tcW w:type="dxa" w:w="1728"/>
            <w:shd w:val="clear" w:color="auto" w:fill="FFF2CC"/>
          </w:tcPr>
          <w:p>
            <w:r>
              <w:t>SHC-2026-00190</w:t>
            </w:r>
          </w:p>
        </w:tc>
        <w:tc>
          <w:tcPr>
            <w:tcW w:type="dxa" w:w="1728"/>
            <w:shd w:val="clear" w:color="auto" w:fill="FFF2CC"/>
          </w:tcPr>
          <w:p>
            <w:r>
              <w:t>Transfer-out</w:t>
            </w:r>
          </w:p>
        </w:tc>
        <w:tc>
          <w:tcPr>
            <w:tcW w:type="dxa" w:w="1728"/>
            <w:shd w:val="clear" w:color="auto" w:fill="FFF2CC"/>
          </w:tcPr>
          <w:p>
            <w:r>
              <w:t>City Multispecialty Hospital (tertiary cardiac care)</w:t>
            </w:r>
          </w:p>
        </w:tc>
        <w:tc>
          <w:tcPr>
            <w:tcW w:type="dxa" w:w="1728"/>
            <w:shd w:val="clear" w:color="auto" w:fill="FFF2CC"/>
          </w:tcPr>
          <w:p>
            <w:r>
              <w:t>Y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