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AAC.4.e — Critical results are intimated to the person concerned at the earliest.</w:t>
      </w:r>
    </w:p>
    <w:p>
      <w:r>
        <w:t>AAC.4 Record 03 — Critical laboratory result notification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Patient ID: The patient's unique identifier.</w:t>
      </w:r>
    </w:p>
    <w:p>
      <w:pPr>
        <w:pStyle w:val="ListParagraph"/>
      </w:pPr>
      <w:r>
        <w:t>Test / Critical Value: The test and the value that triggered critical-result status.</w:t>
      </w:r>
    </w:p>
    <w:p>
      <w:pPr>
        <w:pStyle w:val="ListParagraph"/>
      </w:pPr>
      <w:r>
        <w:t>Result Time: When the result was generated.</w:t>
      </w:r>
    </w:p>
    <w:p>
      <w:pPr>
        <w:pStyle w:val="ListParagraph"/>
      </w:pPr>
      <w:r>
        <w:t>Notified To / Time: Who was called and when.</w:t>
      </w:r>
    </w:p>
    <w:p>
      <w:pPr>
        <w:pStyle w:val="ListParagraph"/>
      </w:pPr>
      <w:r>
        <w:t>Acknowledged By Recipient (Y/N): Whether the recipient confirmed receipt.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Access, Assessment and Care of Patients chapter, standard AAC.4.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logs every critical result and confirms it actually reached the treating clinician, with the time gap between result and notification visible.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Laboratory staff log this at the moment of notification. The worked example shows a critical potassium value phoned through within four minutes.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A critical-value list with no notification log cannot show the dangerous result actually reached someone who could act on it — this record is that proof, with the time lag visible.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Patient ID</w:t>
            </w:r>
          </w:p>
        </w:tc>
        <w:tc>
          <w:tcPr>
            <w:tcW w:type="dxa" w:w="1728"/>
          </w:tcPr>
          <w:p>
            <w:r>
              <w:t>Test / Critical Value</w:t>
            </w:r>
          </w:p>
        </w:tc>
        <w:tc>
          <w:tcPr>
            <w:tcW w:type="dxa" w:w="1728"/>
          </w:tcPr>
          <w:p>
            <w:r>
              <w:t>Result Time</w:t>
            </w:r>
          </w:p>
        </w:tc>
        <w:tc>
          <w:tcPr>
            <w:tcW w:type="dxa" w:w="1728"/>
          </w:tcPr>
          <w:p>
            <w:r>
              <w:t>Notified To / Time</w:t>
            </w:r>
          </w:p>
        </w:tc>
        <w:tc>
          <w:tcPr>
            <w:tcW w:type="dxa" w:w="1728"/>
          </w:tcPr>
          <w:p>
            <w:r>
              <w:t>Acknowledged By Recipient (Y/N)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SHC-2026-00142</w:t>
            </w:r>
          </w:p>
        </w:tc>
        <w:tc>
          <w:tcPr>
            <w:tcW w:type="dxa" w:w="1728"/>
            <w:shd w:val="clear" w:color="auto" w:fill="FFF2CC"/>
          </w:tcPr>
          <w:p>
            <w:r>
              <w:t>Potassium 6.8 mmol/L</w:t>
            </w:r>
          </w:p>
        </w:tc>
        <w:tc>
          <w:tcPr>
            <w:tcW w:type="dxa" w:w="1728"/>
            <w:shd w:val="clear" w:color="auto" w:fill="FFF2CC"/>
          </w:tcPr>
          <w:p>
            <w:r>
              <w:t>15-Feb-2026 / 11:10</w:t>
            </w:r>
          </w:p>
        </w:tc>
        <w:tc>
          <w:tcPr>
            <w:tcW w:type="dxa" w:w="1728"/>
            <w:shd w:val="clear" w:color="auto" w:fill="FFF2CC"/>
          </w:tcPr>
          <w:p>
            <w:r>
              <w:t>Dr. S. Rao (phone), 15-Feb-2026 / 11:14</w:t>
            </w:r>
          </w:p>
        </w:tc>
        <w:tc>
          <w:tcPr>
            <w:tcW w:type="dxa" w:w="1728"/>
            <w:shd w:val="clear" w:color="auto" w:fill="FFF2CC"/>
          </w:tcPr>
          <w:p>
            <w:r>
              <w:t>Y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