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AAC.4.h — The programme includes periodic calibration and maintenance of all equipment.</w:t>
      </w:r>
    </w:p>
    <w:p>
      <w:r>
        <w:t>AAC.4 Record 06 — Laboratory equipment calibration and maintenance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Equipment: The instrument.</w:t>
      </w:r>
    </w:p>
    <w:p>
      <w:pPr>
        <w:pStyle w:val="ListParagraph"/>
      </w:pPr>
      <w:r>
        <w:t>Calibration/Maintenance Due: The scheduled date.</w:t>
      </w:r>
    </w:p>
    <w:p>
      <w:pPr>
        <w:pStyle w:val="ListParagraph"/>
      </w:pPr>
      <w:r>
        <w:t>Date Performed: When it was actually done.</w:t>
      </w:r>
    </w:p>
    <w:p>
      <w:pPr>
        <w:pStyle w:val="ListParagraph"/>
      </w:pPr>
      <w:r>
        <w:t>Performed By: Vendor or in-house technician.</w:t>
      </w:r>
    </w:p>
    <w:p>
      <w:pPr>
        <w:pStyle w:val="ListParagraph"/>
      </w:pPr>
      <w:r>
        <w:t>Result (Pass/Fail): Whether the instrument passed calibration.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schedule and history of every laboratory instrument's calibration and maintenance, with pass/fail outcomes.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Laboratory In-Charge tracks this per instrument. The worked example shows a biochemistry analyzer calibrated on schedule.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An uncalibrated instrument can silently produce inaccurate results — this log is what lets the organisation show every instrument is checked on schedule, not left until something looks wrong.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Equipment</w:t>
            </w:r>
          </w:p>
        </w:tc>
        <w:tc>
          <w:tcPr>
            <w:tcW w:type="dxa" w:w="1728"/>
          </w:tcPr>
          <w:p>
            <w:r>
              <w:t>Calibration/Maintenance Due</w:t>
            </w:r>
          </w:p>
        </w:tc>
        <w:tc>
          <w:tcPr>
            <w:tcW w:type="dxa" w:w="1728"/>
          </w:tcPr>
          <w:p>
            <w:r>
              <w:t>Date Performed</w:t>
            </w:r>
          </w:p>
        </w:tc>
        <w:tc>
          <w:tcPr>
            <w:tcW w:type="dxa" w:w="1728"/>
          </w:tcPr>
          <w:p>
            <w:r>
              <w:t>Performed By</w:t>
            </w:r>
          </w:p>
        </w:tc>
        <w:tc>
          <w:tcPr>
            <w:tcW w:type="dxa" w:w="1728"/>
          </w:tcPr>
          <w:p>
            <w:r>
              <w:t>Result (Pass/Fail)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Semi-Auto Biochemistry Analyzer</w:t>
            </w:r>
          </w:p>
        </w:tc>
        <w:tc>
          <w:tcPr>
            <w:tcW w:type="dxa" w:w="1728"/>
            <w:shd w:val="clear" w:color="auto" w:fill="FFF2CC"/>
          </w:tcPr>
          <w:p>
            <w:r>
              <w:t>01-Mar-2026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28-Feb-2026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Authorized service vendor</w:t>
            </w:r>
          </w:p>
        </w:tc>
        <w:tc>
          <w:tcPr>
            <w:tcW w:type="dxa" w:w="1728"/>
            <w:shd w:val="clear" w:color="auto" w:fill="FFF2CC"/>
          </w:tcPr>
          <w:p>
            <w:r>
              <w:t>Pass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