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Transfer-In, Transfer-Out and Referral of Patients</w:t>
      </w:r>
    </w:p>
    <w:p>
      <w:r>
        <w:t>«Hospital Name» — Supports AAC.2.f</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handles patients moving in or out of the organisation. If you're new to this SOP: a transfer is only done appropriately once the receiving side has confirmed it can accept the patient and has a written summary in hand — not just a verbal heads-up.</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transfers patients in from, and out to, other facilities, and how referrals are made, so that clinical information and responsibility for the patient pass across the handover without a gap.</w:t>
      </w:r>
    </w:p>
    <w:p>
      <w:pPr>
        <w:pStyle w:val="Heading1"/>
      </w:pPr>
      <w:r>
        <w:t>2. Scope</w:t>
      </w:r>
    </w:p>
    <w:p>
      <w:r>
        <w:t>This SOP applies to the treating clinician, nursing staff, and any patient being transferred or referred to or from «Hospital Name».</w:t>
      </w:r>
    </w:p>
    <w:p>
      <w:pPr>
        <w:pStyle w:val="Heading1"/>
      </w:pPr>
      <w:r>
        <w:t>3. Responsibility</w:t>
      </w:r>
    </w:p>
    <w:p>
      <w:r>
        <w:rPr>
          <w:b/>
        </w:rPr>
        <w:t xml:space="preserve">Treating Clinician: </w:t>
      </w:r>
      <w:r>
        <w:t>decides on and documents the clinical justification for a transfer or referral, and confirms the receiving facility can accept the patient.</w:t>
      </w:r>
    </w:p>
    <w:p>
      <w:r>
        <w:rPr>
          <w:b/>
        </w:rPr>
        <w:t xml:space="preserve">Nursing Staff: </w:t>
      </w:r>
      <w:r>
        <w:t>prepare the transfer summary and accompany or hand over the patient as required.</w:t>
      </w:r>
    </w:p>
    <w:p>
      <w:pPr>
        <w:pStyle w:val="Heading1"/>
      </w:pPr>
      <w:r>
        <w:t>4. Procedure</w:t>
      </w:r>
    </w:p>
    <w:p>
      <w:pPr>
        <w:pStyle w:val="Heading2"/>
      </w:pPr>
      <w:r>
        <w:t>4.1 Transfer-in</w:t>
      </w:r>
    </w:p>
    <w:p>
      <w:r>
        <w:rPr>
          <w:b/>
        </w:rPr>
        <w:t xml:space="preserve">Why this step matters: </w:t>
      </w:r>
      <w:r>
        <w:t>A patient arriving from another facility with no accompanying clinical information forces the receiving team to start from zero — this step is what prevents that.</w:t>
      </w:r>
    </w:p>
    <w:p>
      <w:r>
        <w:t>1. On transfer-in, the receiving clinician reviews and documents the referring facility's summary, provisional diagnosis, and treatment given so far.</w:t>
      </w:r>
    </w:p>
    <w:p>
      <w:r>
        <w:t>2. Any information gap is flagged and followed up with the referring facility. (Record 1)</w:t>
      </w:r>
    </w:p>
    <w:p>
      <w:pPr>
        <w:pStyle w:val="Heading2"/>
      </w:pPr>
      <w:r>
        <w:t>4.2 Transfer-out and referral</w:t>
      </w:r>
    </w:p>
    <w:p>
      <w:r>
        <w:rPr>
          <w:b/>
        </w:rPr>
        <w:t xml:space="preserve">Why this step matters: </w:t>
      </w:r>
      <w:r>
        <w:t>A patient sent elsewhere without a written summary, and without confirming the receiving facility can actually take them, risks arriving to find there is no bed, no information, and no continuity of care.</w:t>
      </w:r>
    </w:p>
    <w:p>
      <w:r>
        <w:t>1. Before transfer-out or referral, the receiving facility's ability to accept the patient is confirmed.</w:t>
      </w:r>
    </w:p>
    <w:p>
      <w:r>
        <w:t>2. A written transfer summary (diagnosis, treatment given, reason for transfer, vitals at the time of transfer) accompanies the patient.</w:t>
      </w:r>
    </w:p>
    <w:p>
      <w:r>
        <w:t>3. The patient or attendant is informed of the reason for transfer or referral. (Record 1)</w:t>
      </w:r>
    </w:p>
    <w:p>
      <w:pPr>
        <w:pStyle w:val="Heading1"/>
      </w:pPr>
      <w:r>
        <w:t>5. Records</w:t>
      </w:r>
    </w:p>
    <w:p>
      <w:r>
        <w:t>This SOP produces and maintains Records 1 (see the AAC.2 Records folder).</w:t>
      </w:r>
    </w:p>
    <w:p>
      <w:pPr>
        <w:pStyle w:val="Heading1"/>
      </w:pPr>
      <w:r>
        <w:t>6. Related Documents</w:t>
      </w:r>
    </w:p>
    <w:p>
      <w:pPr>
        <w:pStyle w:val="ListParagraph"/>
      </w:pPr>
      <w:r>
        <w:t>Policy on Access, Registration, Admission and Continuity of Care (AAC.2) — this SOP operationalises step 5.6</w:t>
      </w:r>
    </w:p>
    <w:p>
      <w:pPr>
        <w:pStyle w:val="ListParagraph"/>
      </w:pPr>
      <w:r>
        <w:t>Required Records — AAC.2.f (see AAC.2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Access, Assessment and Care of Patients chapter, standard AAC.2.</w:t>
      </w:r>
    </w:p>
    <w:p>
      <w:pPr>
        <w:pStyle w:val="Heading1"/>
      </w:pPr>
      <w:r>
        <w:t>8. Review</w:t>
      </w:r>
    </w:p>
    <w:p>
      <w:r>
        <w:t>This SOP is reviewed at least annually by the Quality Coordinator together with the Medical Superintendent, and sooner if a transfer summary is found incomplete.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