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Initial Assessment of Patients</w:t>
      </w:r>
    </w:p>
    <w:p>
      <w:r>
        <w:t>«Hospital Name» — Supports AAC.3.a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performs the initial assessment that every patient receives. If you're new to this SOP: this is a Core-level requirement — an assessment done verbally but not documented in the defined time frame does not satisfy it, whatever the clinical outcome was.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performs and documents the initial assessment of every patient — out-patient, day-care, in-patient and emergency — so that care from the first encounter onward is based on a recorded clinical picture, not an undocumented impression. This is a Core-level requirement.</w:t>
      </w:r>
    </w:p>
    <w:p>
      <w:pPr>
        <w:pStyle w:val="Heading1"/>
      </w:pPr>
      <w:r>
        <w:t>2. Scope</w:t>
      </w:r>
    </w:p>
    <w:p>
      <w:r>
        <w:t>This SOP applies to every clinician performing a first assessment of a patient at «Hospital Name», across all four patient categories.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Clinician: </w:t>
      </w:r>
      <w:r>
        <w:t>performs and documents the initial assessment within the defined time frame for the patient's category.</w:t>
      </w:r>
    </w:p>
    <w:p>
      <w:r>
        <w:rPr>
          <w:b/>
        </w:rPr>
        <w:t xml:space="preserve">Medical Superintendent: </w:t>
      </w:r>
      <w:r>
        <w:t>ensures initial-assessment compliance is audited periodically and gaps are corrected.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Perform the initial assessment</w:t>
      </w:r>
    </w:p>
    <w:p>
      <w:r>
        <w:rPr>
          <w:b/>
        </w:rPr>
        <w:t xml:space="preserve">Why this step matters: </w:t>
      </w:r>
      <w:r>
        <w:t>An initial assessment that exists only in the clinician's memory cannot be handed over, reviewed, or checked — writing it down is what makes it a clinical record rather than an impression.</w:t>
      </w:r>
    </w:p>
    <w:p>
      <w:r>
        <w:t>1. The initial assessment covers, at minimum: presenting complaint, relevant history, physical examination findings, and a provisional diagnosis or working impression.</w:t>
      </w:r>
    </w:p>
    <w:p>
      <w:r>
        <w:t>2. For emergency patients, initial assessment includes a documented triage category reflecting urgency. (Record 1)</w:t>
      </w:r>
    </w:p>
    <w:p>
      <w:pPr>
        <w:pStyle w:val="Heading2"/>
      </w:pPr>
      <w:r>
        <w:t>4.2 Document within the defined time frame</w:t>
      </w:r>
    </w:p>
    <w:p>
      <w:r>
        <w:rPr>
          <w:b/>
        </w:rPr>
        <w:t xml:space="preserve">Why this step matters: </w:t>
      </w:r>
      <w:r>
        <w:t>An assessment documented a day after the encounter is reconstructed from memory, not recorded in real time — the time frame exists so the record reflects what was actually found, not what was later recalled.</w:t>
      </w:r>
    </w:p>
    <w:p>
      <w:r>
        <w:t>1. Out-patient and day-care assessments are documented at the time of the consultation.</w:t>
      </w:r>
    </w:p>
    <w:p>
      <w:r>
        <w:t>2. In-patient assessments are documented within «the hospital-defined time frame, e.g. within 24 hours of admission».</w:t>
      </w:r>
    </w:p>
    <w:p>
      <w:r>
        <w:t>3. Emergency assessments are documented immediately, concurrent with triage. (Record 1)</w:t>
      </w:r>
    </w:p>
    <w:p>
      <w:pPr>
        <w:pStyle w:val="Heading1"/>
      </w:pPr>
      <w:r>
        <w:t>5. Records</w:t>
      </w:r>
    </w:p>
    <w:p>
      <w:r>
        <w:t>This SOP produces and maintains Records 1 (see the AAC.3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Assessment of Patients (AAC.3) — this SOP operationalises step 5.1</w:t>
      </w:r>
    </w:p>
    <w:p>
      <w:pPr>
        <w:pStyle w:val="ListParagraph"/>
      </w:pPr>
      <w:r>
        <w:t>Required Records — AAC.3.a (see AAC.3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audit finds initial assessments missing or late.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