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Laboratory Specimen Handling, Turnaround Time and Critical Result Reporting</w:t>
      </w:r>
    </w:p>
    <w:p>
      <w:r>
        <w:t>«Hospital Name» — Supports AAC.4.c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covers three connected things: getting the specimen right, getting the result back in time, and making sure a dangerous result is actually acted on. If you're new to this SOP: a critical result phoned to the right person late is still a miss — 'at the earliest' is the standard, not 'eventually'.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handles laboratory specimens from requisition through to disposal, ensures results are available within a defined time frame, and ensures critical results reach the treating clinician at the earliest.</w:t>
      </w:r>
    </w:p>
    <w:p>
      <w:pPr>
        <w:pStyle w:val="Heading1"/>
      </w:pPr>
      <w:r>
        <w:t>2. Scope</w:t>
      </w:r>
    </w:p>
    <w:p>
      <w:r>
        <w:t>This SOP applies to laboratory staff, phlebotomy/sample-collection staff, and every clinician who orders a laboratory test at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Laboratory In-Charge: </w:t>
      </w:r>
      <w:r>
        <w:t>maintains the written specimen-handling guidance and the critical-value list, and monitors turnaround time.</w:t>
      </w:r>
    </w:p>
    <w:p>
      <w:r>
        <w:rPr>
          <w:b/>
        </w:rPr>
        <w:t xml:space="preserve">Collecting Staff: </w:t>
      </w:r>
      <w:r>
        <w:t>follow the written guidance for requisition, collection, identification, handling and transport of every specimen.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Requisition, collection and handling</w:t>
      </w:r>
    </w:p>
    <w:p>
      <w:r>
        <w:rPr>
          <w:b/>
        </w:rPr>
        <w:t xml:space="preserve">Why this step matters: </w:t>
      </w:r>
      <w:r>
        <w:t>A specimen that is mislabelled or mishandled between collection and testing can produce a result for the wrong patient — written guidance at every step is what closes that gap.</w:t>
      </w:r>
    </w:p>
    <w:p>
      <w:r>
        <w:t>1. Every specimen is collected against a documented requisition, labelled with the patient's unique identifier at the bedside or point of collection, and transported to the laboratory per written guidance on handling and timing.</w:t>
      </w:r>
    </w:p>
    <w:p>
      <w:r>
        <w:t>2. Specimens are disposed of per the organisation's biomedical waste procedure once testing is complete.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Ministry of Environment, Forest and Climate Change, Government of India. (2016). </w:t>
      </w:r>
      <w:hyperlink r:id="rId9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p>
      <w:pPr>
        <w:pStyle w:val="Heading2"/>
      </w:pPr>
      <w:r>
        <w:t>4.2 Turnaround time</w:t>
      </w:r>
    </w:p>
    <w:p>
      <w:r>
        <w:rPr>
          <w:b/>
        </w:rPr>
        <w:t xml:space="preserve">Why this step matters: </w:t>
      </w:r>
      <w:r>
        <w:t>A result that takes three days to reach the ward for a test the clinician needed same-day isn't actually usable — a defined turnaround time, tracked test by test, is what makes the lab result clinically useful.</w:t>
      </w:r>
    </w:p>
    <w:p>
      <w:r>
        <w:t>1. Each test category has a defined turnaround time, from specimen receipt to result availability.</w:t>
      </w:r>
    </w:p>
    <w:p>
      <w:r>
        <w:t>2. Turnaround time is tracked and reviewed against the defined target. (Record 2)</w:t>
      </w:r>
    </w:p>
    <w:p>
      <w:pPr>
        <w:pStyle w:val="Heading2"/>
      </w:pPr>
      <w:r>
        <w:t>4.3 Critical results</w:t>
      </w:r>
    </w:p>
    <w:p>
      <w:r>
        <w:rPr>
          <w:b/>
        </w:rPr>
        <w:t xml:space="preserve">Why this step matters: </w:t>
      </w:r>
      <w:r>
        <w:t>A critical result sitting in a report queue until someone happens to check it is a patient-safety failure waiting to happen — critical values have to be called out and confirmed received, not just filed.</w:t>
      </w:r>
    </w:p>
    <w:p>
      <w:r>
        <w:t>1. Critical values are defined on a written list, agreed with clinicians.</w:t>
      </w:r>
    </w:p>
    <w:p>
      <w:r>
        <w:t>2. A critical result is communicated directly (phone or equivalent) to the treating clinician or nurse at the earliest, and the communication is logged with date, time and recipient. (Record 3)</w:t>
      </w:r>
    </w:p>
    <w:p>
      <w:pPr>
        <w:pStyle w:val="Heading1"/>
      </w:pPr>
      <w:r>
        <w:t>5. Records</w:t>
      </w:r>
    </w:p>
    <w:p>
      <w:r>
        <w:t>This SOP produces and maintains Records 1-3 (see the AAC.4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Laboratory and Diagnostic Services (AAC.4) — this SOP operationalises steps 5.3, 5.4 and 5.5</w:t>
      </w:r>
    </w:p>
    <w:p>
      <w:pPr>
        <w:pStyle w:val="ListParagraph"/>
      </w:pPr>
      <w:r>
        <w:t>Required Records — AAC.4.c, AAC.4.d, AAC.4.e (see AAC.4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Laboratory In-Charge, and sooner if a critical-result delay or specimen-handling error occurs.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pcb.nic.in/bio-medical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