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Imaging Services — Turnaround Time, Critical Results, Outsourcing, Quality Assurance and Calibration</w:t>
      </w:r>
    </w:p>
    <w:p>
      <w:r>
        <w:t>«Hospital Name» — Supports AAC.5.d</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covers five connected imaging requirements in one place: speed, safety-critical communication, outsourcing checks, image quality, and equipment/radiation safety. If you're new to this SOP: radiation-safety compliance is a statutory obligation under the Atomic Energy (Radiation Protection) Rules, 2004, not an optional NABH add-on — it applies whether or not an assessor is checking.</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ensures imaging results are available within a defined time frame, critical imaging findings are intimated immediately, outsourced imaging services are selected on quality assurance grounds, an imaging quality assurance programme is implemented, and imaging equipment is calibrated and maintained — including compliance with statutory radiation-safety requirements.</w:t>
      </w:r>
    </w:p>
    <w:p>
      <w:pPr>
        <w:pStyle w:val="Heading1"/>
      </w:pPr>
      <w:r>
        <w:t>2. Scope</w:t>
      </w:r>
    </w:p>
    <w:p>
      <w:r>
        <w:t>This SOP applies to the Imaging/Radiology In-Charge, radiology staff, and every clinician ordering or outsourcing an imaging study at «Hospital Name».</w:t>
      </w:r>
    </w:p>
    <w:p>
      <w:pPr>
        <w:pStyle w:val="Heading1"/>
      </w:pPr>
      <w:r>
        <w:t>3. Responsibility</w:t>
      </w:r>
    </w:p>
    <w:p>
      <w:r>
        <w:rPr>
          <w:b/>
        </w:rPr>
        <w:t xml:space="preserve">Imaging In-Charge: </w:t>
      </w:r>
      <w:r>
        <w:t>monitors turnaround time, maintains the critical-finding list, runs the imaging QA programme, and maintains the equipment calibration schedule including statutory radiation-safety compliance.</w:t>
      </w:r>
    </w:p>
    <w:p>
      <w:r>
        <w:rPr>
          <w:b/>
        </w:rPr>
        <w:t xml:space="preserve">Medical Superintendent: </w:t>
      </w:r>
      <w:r>
        <w:t>approves outsourced imaging providers and reviews the QA programme at least annually.</w:t>
      </w:r>
    </w:p>
    <w:p>
      <w:pPr>
        <w:pStyle w:val="Heading1"/>
      </w:pPr>
      <w:r>
        <w:t>4. Procedure</w:t>
      </w:r>
    </w:p>
    <w:p>
      <w:pPr>
        <w:pStyle w:val="Heading2"/>
      </w:pPr>
      <w:r>
        <w:t>4.1 Turnaround time and critical results</w:t>
      </w:r>
    </w:p>
    <w:p>
      <w:r>
        <w:rPr>
          <w:b/>
        </w:rPr>
        <w:t xml:space="preserve">Why this step matters: </w:t>
      </w:r>
      <w:r>
        <w:t>An imaging finding that could change immediate management — a pneumothorax, a fracture needing urgent reduction — is only useful if it reaches the clinician fast, not whenever the report happens to be typed up.</w:t>
      </w:r>
    </w:p>
    <w:p>
      <w:r>
        <w:t>1. Each imaging modality has a defined turnaround time from study completion to report availability, tracked against the target.</w:t>
      </w:r>
    </w:p>
    <w:p>
      <w:r>
        <w:t>2. Critical imaging findings are defined on a written list and communicated directly to the treating clinician immediately, with the communication logged. (Record 1-2)</w:t>
      </w:r>
    </w:p>
    <w:p>
      <w:pPr>
        <w:pStyle w:val="Heading2"/>
      </w:pPr>
      <w:r>
        <w:t>4.2 Outsourcing imaging services</w:t>
      </w:r>
    </w:p>
    <w:p>
      <w:r>
        <w:rPr>
          <w:b/>
        </w:rPr>
        <w:t xml:space="preserve">Why this step matters: </w:t>
      </w:r>
      <w:r>
        <w:t>Sending a patient to an external imaging centre with no check on its quality assurance or radiation-safety compliance passes that risk straight to the patient.</w:t>
      </w:r>
    </w:p>
    <w:p>
      <w:r>
        <w:t>1. Before imaging is outsourced, the receiving facility's quality assurance credentials and radiation-safety compliance are verified and kept on file.</w:t>
      </w:r>
    </w:p>
    <w:p>
      <w:r>
        <w:t>2. The approved outsourced-imaging list is reviewed at least annually. (Record 3)</w:t>
      </w:r>
    </w:p>
    <w:p>
      <w:r>
        <w:rPr>
          <w:b/>
          <w:i/>
        </w:rPr>
        <w:t xml:space="preserve">Technical source(s) for these steps: </w:t>
      </w:r>
    </w:p>
    <w:p>
      <w:pPr>
        <w:pStyle w:val="ListParagraph"/>
      </w:pPr>
      <w:r>
        <w:t xml:space="preserve">Government of India, Department of Atomic Energy. (2004). </w:t>
      </w:r>
      <w:hyperlink r:id="rId9">
        <w:r>
          <w:rPr>
            <w:color w:val="0563C1"/>
            <w:u w:val="single"/>
          </w:rPr>
          <w:t>Atomic Energy (Radiation Protection) Rules, 2004 (G.S.R. 303, 25-Aug-2004)</w:t>
        </w:r>
      </w:hyperlink>
      <w:r>
        <w:t>. Statutory radiation-safety requirement administered by the Atomic Energy Regulatory Board (AERB); applies to diagnostic X-ray and imaging equipment.</w:t>
      </w:r>
    </w:p>
    <w:p>
      <w:pPr>
        <w:pStyle w:val="Heading2"/>
      </w:pPr>
      <w:r>
        <w:t>4.3 Quality assurance, calibration and radiation safety</w:t>
      </w:r>
    </w:p>
    <w:p>
      <w:r>
        <w:rPr>
          <w:b/>
        </w:rPr>
        <w:t xml:space="preserve">Why this step matters: </w:t>
      </w:r>
      <w:r>
        <w:t>Imaging equipment that is neither quality-checked nor calibrated can produce a misleading image, and unmanaged radiation output is a statutory safety failure on top of a clinical one — both are checked together here.</w:t>
      </w:r>
    </w:p>
    <w:p>
      <w:r>
        <w:t>1. The imaging QA programme includes periodic image-quality checks against a defined standard, documented and reviewed.</w:t>
      </w:r>
    </w:p>
    <w:p>
      <w:r>
        <w:t>2. Every imaging equipment item has a defined calibration and preventive-maintenance schedule, carried out and logged, with equipment taken out of service if found out of calibration.</w:t>
      </w:r>
    </w:p>
    <w:p>
      <w:r>
        <w:t>3. Radiation-safety compliance (shielding, personnel dosimetry, equipment registration/licensing as applicable) is checked and documented per statutory requirement. (Record 4-5)</w:t>
      </w:r>
    </w:p>
    <w:p>
      <w:r>
        <w:rPr>
          <w:b/>
          <w:i/>
        </w:rPr>
        <w:t xml:space="preserve">Technical source(s) for these steps: </w:t>
      </w:r>
    </w:p>
    <w:p>
      <w:pPr>
        <w:pStyle w:val="ListParagraph"/>
      </w:pPr>
      <w:r>
        <w:t xml:space="preserve">Government of India, Department of Atomic Energy. (2004). </w:t>
      </w:r>
      <w:hyperlink r:id="rId9">
        <w:r>
          <w:rPr>
            <w:color w:val="0563C1"/>
            <w:u w:val="single"/>
          </w:rPr>
          <w:t>Atomic Energy (Radiation Protection) Rules, 2004 (G.S.R. 303, 25-Aug-2004)</w:t>
        </w:r>
      </w:hyperlink>
      <w:r>
        <w:t>. Statutory radiation-safety requirement administered by the Atomic Energy Regulatory Board (AERB); applies to diagnostic X-ray and imaging equipment.</w:t>
      </w:r>
    </w:p>
    <w:p>
      <w:pPr>
        <w:pStyle w:val="Heading1"/>
      </w:pPr>
      <w:r>
        <w:t>5. Records</w:t>
      </w:r>
    </w:p>
    <w:p>
      <w:r>
        <w:t>This SOP produces and maintains Records 1-5 (see the AAC.5 Records folder).</w:t>
      </w:r>
    </w:p>
    <w:p>
      <w:pPr>
        <w:pStyle w:val="Heading1"/>
      </w:pPr>
      <w:r>
        <w:t>6. Related Documents</w:t>
      </w:r>
    </w:p>
    <w:p>
      <w:pPr>
        <w:pStyle w:val="ListParagraph"/>
      </w:pPr>
      <w:r>
        <w:t>Policy on Imaging and Diagnostic Services (AAC.5) — this SOP operationalises steps 5.4, 5.5, 5.6, 5.7 and 5.9</w:t>
      </w:r>
    </w:p>
    <w:p>
      <w:pPr>
        <w:pStyle w:val="ListParagraph"/>
      </w:pPr>
      <w:r>
        <w:t>Required Records — AAC.5.d, AAC.5.e, AAC.5.f, AAC.5.g, AAC.5.i (see AAC.5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Care of Patients chapter, standard AAC.5.</w:t>
      </w:r>
    </w:p>
    <w:p>
      <w:pPr>
        <w:pStyle w:val="Heading1"/>
      </w:pPr>
      <w:r>
        <w:t>8. Review</w:t>
      </w:r>
    </w:p>
    <w:p>
      <w:r>
        <w:t>This SOP is reviewed at least annually by the Quality Coordinator together with the Imaging In-Charge, and sooner if a critical-result delay, QA finding, or radiation-safety compliance gap occurs.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gw3.aerb.gov.in/images/PDF/RPR2004.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