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Strategic Plans, Operational Plans, Committees, Service Standards and Staff Rights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This is distinct from mission-level performance monitoring, which is handled elsewhere. This step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This is the governance-level document. Detailed staff policies, grievance procedures and employment terms sit in the human-resources policies. This step is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ROM.3.</w:t>
      </w:r>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«ROM/POL/03»  |  Controlled document  |  Policy on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