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Information on Expected Costs</w:t>
      </w:r>
    </w:p>
    <w:p>
      <w:pPr>
        <w:spacing w:after="240"/>
        <w:jc w:val="center"/>
      </w:pPr>
      <w:r>
        <w:rPr>
          <w:i/>
          <w:iCs/>
          <w:sz w:val="20"/>
          <w:szCs w:val="20"/>
        </w:rPr>
        <w:t xml:space="preserve">HCO Full Accreditation, 6th Edition — PRE.6.</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«HCO/PRE/POL/06»</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Accounts In-Charge»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Patients and families have a right to information on expected costs.</w:t>
      </w:r>
    </w:p>
    <w:p>
      <w:pPr>
        <w:pStyle w:val="Heading1"/>
        <w:spacing w:after="120" w:before="280"/>
      </w:pPr>
      <w:r>
        <w:t xml:space="preserve">1. Purpose</w:t>
      </w:r>
    </w:p>
    <w:p>
      <w:pPr>
        <w:spacing w:after="140"/>
      </w:pPr>
      <w:r>
        <w:rPr>
          <w:sz w:val="22"/>
          <w:szCs w:val="22"/>
        </w:rPr>
        <w:t xml:space="preserve">This policy says how «Hospital Name» meets NABH Hospitals 6th Edition standard PRE.6: Patients and families have a right to information on expected costs.</w:t>
      </w:r>
    </w:p>
    <w:p>
      <w:pPr>
        <w:spacing w:after="140"/>
      </w:pPr>
      <w:r>
        <w:rPr>
          <w:sz w:val="22"/>
          <w:szCs w:val="22"/>
        </w:rPr>
        <w:t xml:space="preserve">It covers objective elements PRE.6.a–d (4 elements).</w:t>
      </w:r>
    </w:p>
    <w:p>
      <w:pPr>
        <w:spacing w:after="140"/>
      </w:pPr>
      <w:r>
        <w:rPr>
          <w:sz w:val="22"/>
          <w:szCs w:val="22"/>
        </w:rPr>
        <w:t xml:space="preserve">Chapter intent (official Standards PDF): The organisation defines, protects and promotes the patient and family's rights and responsibilities. The staff is aware of these rights and is trained to protect them. Patients are informed of their rights and educated about their responsibilities at the time of entering the organisation. The expected costs of treatment and care are explained clearly to the patient and / or family. The organisation encourages patient engagement to enhance clinical outcomes, safety and quality. Patients are educated about the mechanisms available for addressing grievances. Informed consent is obtained from the patient or family for specified procedures / care. The key components of information shall include risks, benefits and alternatives. Patients and families have a right to get information and education about their healthcare needs in a language and manner that is understood by them. The organisation has a mechanism to capture the patient experience including patient reported experience measures (PREM). The organisation develops effective patient-centred communication.</w:t>
      </w:r>
    </w:p>
    <w:p>
      <w:pPr>
        <w:spacing w:after="140"/>
      </w:pPr>
      <w:r>
        <w:rPr>
          <w:sz w:val="22"/>
          <w:szCs w:val="22"/>
        </w:rPr>
        <w:t xml:space="preserve">This policy owns PRE.6. Related AAC, COP, MOM, IPC/HIC and IMS duties stay with those policies — cross-reference only. Other PRE standards stay with their own policies.</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register, admit, treat, counsel, bill, take consent from, or communicate with patients and families at «Hospital Name», including the «Patient Accounts In-Charge», treating doctors, nursing, Guest Relations / Patient Rights, Patient Accounts and the Quality Coordinator.</w:t>
      </w:r>
    </w:p>
    <w:p>
      <w:pPr>
        <w:spacing w:after="140"/>
      </w:pPr>
      <w:r>
        <w:rPr>
          <w:sz w:val="22"/>
          <w:szCs w:val="22"/>
        </w:rPr>
        <w:t xml:space="preserve">It covers 4 objective elements (PRE.6.a, PRE.6.b, PRE.6.c, PRE.6.d).</w:t>
      </w:r>
    </w:p>
    <w:p>
      <w:pPr>
        <w:spacing w:after="140"/>
      </w:pPr>
      <w:r>
        <w:rPr>
          <w:sz w:val="22"/>
          <w:szCs w:val="22"/>
        </w:rPr>
        <w:t xml:space="preserve">Boundaries: do not copy SHCO PRE wording. Do not overwrite HCO AAC, COP or MOM policies. Spell out abbreviations on first use in training materials. OE counts/levels/asterisks stay with the official portal Standards PDF. Method notes come from the Guidebook Interpretation paragraphs (scanned PDF md5 2c4489ee98de4ae9b49cba168ea9f42a).</w:t>
      </w:r>
    </w:p>
    <w:p>
      <w:pPr>
        <w:pStyle w:val="Heading1"/>
        <w:spacing w:after="120" w:before="280"/>
      </w:pPr>
      <w:r>
        <w:t xml:space="preserve">3. Policy standards</w:t>
      </w:r>
    </w:p>
    <w:p>
      <w:pPr>
        <w:spacing w:after="140"/>
      </w:pPr>
      <w:r>
        <w:rPr>
          <w:sz w:val="22"/>
          <w:szCs w:val="22"/>
        </w:rPr>
        <w:t xml:space="preserve">«Hospital Name» implements PRE.6 so that patients and families have a right to information on expected costs.</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The patient and / or family members are made aware of the pricing policy in different settings (out-patient...</w:t>
      </w:r>
    </w:p>
    <w:p>
      <w:pPr>
        <w:spacing w:after="80"/>
      </w:pPr>
      <w:r>
        <w:rPr>
          <w:sz w:val="22"/>
          <w:szCs w:val="22"/>
        </w:rPr>
        <w:t xml:space="preserve">2. Do not skip: The relevant tariff list is available to patients.</w:t>
      </w:r>
    </w:p>
    <w:p>
      <w:pPr>
        <w:spacing w:after="80"/>
      </w:pPr>
      <w:r>
        <w:rPr>
          <w:sz w:val="22"/>
          <w:szCs w:val="22"/>
        </w:rPr>
        <w:t xml:space="preserve">3. Do not skip: The patient and/or family members are explained about the expected costs.</w:t>
      </w:r>
    </w:p>
    <w:p>
      <w:pPr>
        <w:spacing w:after="80"/>
      </w:pPr>
      <w:r>
        <w:rPr>
          <w:sz w:val="22"/>
          <w:szCs w:val="22"/>
        </w:rPr>
        <w:t xml:space="preserve">4. Do not skip: Patient and/or family are informed about the financial implications when there is a change in the care plan.</w:t>
      </w:r>
    </w:p>
    <w:p>
      <w:pPr>
        <w:spacing w:after="80"/>
      </w:pPr>
      <w:r>
        <w:rPr>
          <w:sz w:val="22"/>
          <w:szCs w:val="22"/>
        </w:rPr>
        <w:t xml:space="preserve">5. Staff who see a PRE.6 rule broken report it the same shift to the «department in-charge» or the «Quality Coordinator».</w:t>
      </w:r>
    </w:p>
    <w:p>
      <w:pPr>
        <w:pStyle w:val="Heading1"/>
        <w:spacing w:after="120" w:before="280"/>
      </w:pPr>
      <w:r>
        <w:t xml:space="preserve">5. What we do</w:t>
      </w:r>
    </w:p>
    <w:p>
      <w:pPr>
        <w:pStyle w:val="Heading2"/>
        <w:spacing w:after="100" w:before="220"/>
      </w:pPr>
      <w:r>
        <w:t xml:space="preserve">5.1 The patient and / or family members are made aware of the pricing pol...</w:t>
      </w:r>
    </w:p>
    <w:p>
      <w:pPr>
        <w:spacing w:after="140"/>
      </w:pPr>
      <w:r>
        <w:rPr>
          <w:sz w:val="22"/>
          <w:szCs w:val="22"/>
        </w:rPr>
        <w:t xml:space="preserve">Pricing-policy components — consultation charges, bed charges, nursing charges, security deposit — are available near registration and/or the admission desk for out-patient, emergency, ICU and in-patient settings, based on the billing policy.</w:t>
      </w:r>
    </w:p>
    <w:p>
      <w:pPr>
        <w:spacing w:after="140"/>
      </w:pPr>
      <w:r>
        <w:rPr>
          <w:sz w:val="22"/>
          <w:szCs w:val="22"/>
        </w:rPr>
        <w:t xml:space="preserve">The «Patient Accounts In-Charge» keeps the displayed components current. A policy that exists only in accounts and is not visible at the desk is not CORE compliance.</w:t>
      </w:r>
    </w:p>
    <w:p>
      <w:pPr>
        <w:spacing w:after="140"/>
      </w:pPr>
      <w:r>
        <w:rPr>
          <w:sz w:val="22"/>
          <w:szCs w:val="22"/>
        </w:rPr>
        <w:t xml:space="preserve">Method note (from guidebook interpretation): The key components of pricing, namely consultation charges, bed charges, nursing charges, security deposit, are available to patients near registration and/or admission desk. This shall be based on the billing policy, which defines the charges to be levied for various healthcare activities in a given setting. The relevant tariff list is available to patients.</w:t>
      </w:r>
    </w:p>
    <w:p>
      <w:pPr>
        <w:spacing w:after="140"/>
      </w:pPr>
      <w:r>
        <w:rPr>
          <w:sz w:val="22"/>
          <w:szCs w:val="22"/>
        </w:rPr>
        <w:t xml:space="preserve">This is a CORE objective element — non-compliance is not acceptable for accreditation.</w:t>
      </w:r>
    </w:p>
    <w:p>
      <w:pPr>
        <w:pStyle w:val="Heading2"/>
        <w:spacing w:after="100" w:before="220"/>
      </w:pPr>
      <w:r>
        <w:t xml:space="preserve">5.2 The relevant tariff list is available to patients</w:t>
      </w:r>
    </w:p>
    <w:p>
      <w:pPr>
        <w:spacing w:after="140"/>
      </w:pPr>
      <w:r>
        <w:rPr>
          <w:sz w:val="22"/>
          <w:szCs w:val="22"/>
        </w:rPr>
        <w:t xml:space="preserve">An updated tariff list is available for patients to review. «Hospital Name» charges as per that list; any additional charge is enumerated in the tariff and communicated. Rates are uniform in a given setting and transparent.</w:t>
      </w:r>
    </w:p>
    <w:p>
      <w:pPr>
        <w:spacing w:after="140"/>
      </w:pPr>
      <w:r>
        <w:rPr>
          <w:sz w:val="22"/>
          <w:szCs w:val="22"/>
        </w:rPr>
        <w:t xml:space="preserve">The «Patient Accounts In-Charge» dates the current list. Informal 'extra' charges that are not on the tariff are not permitted.</w:t>
      </w:r>
    </w:p>
    <w:p>
      <w:pPr>
        <w:spacing w:after="140"/>
      </w:pPr>
      <w:r>
        <w:rPr>
          <w:sz w:val="22"/>
          <w:szCs w:val="22"/>
        </w:rPr>
        <w:t xml:space="preserve">Method note (from guidebook interpretation): The organisation shall ensure that there is an updated tariff list and that the relevant tariff is available for review to patients when required. The organisation shall charge as per the tariff list. Any additional charge shall also be enumerated in the tariff and the same communicated to the patients. The tariff rates shall be uniform (in a given setting) and transparent. = ‘ " g The patient and/or family members are explained about the expected costs.</w:t>
      </w:r>
    </w:p>
    <w:p>
      <w:pPr>
        <w:pStyle w:val="Heading2"/>
        <w:spacing w:after="100" w:before="220"/>
      </w:pPr>
      <w:r>
        <w:t xml:space="preserve">5.3 The patient and/or family members are explained about the expected costs</w:t>
      </w:r>
    </w:p>
    <w:p>
      <w:pPr>
        <w:spacing w:after="140"/>
      </w:pPr>
      <w:r>
        <w:rPr>
          <w:sz w:val="22"/>
          <w:szCs w:val="22"/>
        </w:rPr>
        <w:t xml:space="preserve">Patients receive an estimate of treatment expenses, preferably written, based on the treatment plan. OPD / registration / admission staff prepare it in consultation with the treating doctor. Limitations (for example emergency admission) are discussed.</w:t>
      </w:r>
    </w:p>
    <w:p>
      <w:pPr>
        <w:spacing w:after="140"/>
      </w:pPr>
      <w:r>
        <w:rPr>
          <w:sz w:val="22"/>
          <w:szCs w:val="22"/>
        </w:rPr>
        <w:t xml:space="preserve">The estimate is filed in the patient account / medical record. 'We'll see at discharge' is not an explanation of expected costs.</w:t>
      </w:r>
    </w:p>
    <w:p>
      <w:pPr>
        <w:spacing w:after="140"/>
      </w:pPr>
      <w:r>
        <w:rPr>
          <w:sz w:val="22"/>
          <w:szCs w:val="22"/>
        </w:rPr>
        <w:t xml:space="preserve">Method note (from guidebook interpretation): Patients shall be given an estimate of the expenses on account of the treatment, preferably in a written form. This estimate shall be prepared based on the treatment plan. It could be prepared by the OPD/Registration/Admission staff in consultation with the treating doctor. The limitations of the estimate if any (for example emergency admissions) could also be discussed with the patient.</w:t>
      </w:r>
    </w:p>
    <w:p>
      <w:pPr>
        <w:pStyle w:val="Heading2"/>
        <w:spacing w:after="100" w:before="220"/>
      </w:pPr>
      <w:r>
        <w:t xml:space="preserve">5.4 Patient and/or family are informed about the financial implications w...</w:t>
      </w:r>
    </w:p>
    <w:p>
      <w:pPr>
        <w:spacing w:after="140"/>
      </w:pPr>
      <w:r>
        <w:rPr>
          <w:sz w:val="22"/>
          <w:szCs w:val="22"/>
        </w:rPr>
        <w:t xml:space="preserve">When the care plan changes in a way that affects cost — shift to or from ICU, medical to surgical management, further expensive investigations — the patient and/or family are informed of the financial implication before the change is treated as agreed (emergencies: as soon as practicable).</w:t>
      </w:r>
    </w:p>
    <w:p>
      <w:pPr>
        <w:spacing w:after="140"/>
      </w:pPr>
      <w:r>
        <w:rPr>
          <w:sz w:val="22"/>
          <w:szCs w:val="22"/>
        </w:rPr>
        <w:t xml:space="preserve">The «Patient Accounts In-Charge» or the «treating doctor» records the revised estimate. Surprise charges at discharge for a known plan change are a gap.</w:t>
      </w:r>
    </w:p>
    <w:p>
      <w:pPr>
        <w:spacing w:after="140"/>
      </w:pPr>
      <w:r>
        <w:rPr>
          <w:sz w:val="22"/>
          <w:szCs w:val="22"/>
        </w:rPr>
        <w:t xml:space="preserve">Method note (from guidebook interpretation): Change in the care plan entails that the patient and/or family are informed of the financial implications. Example of change in care plan include patients are shifted from one setting to another, typically to and from ICUs, the shift from medical to surgical management, need to conduct further expensive investigations etc.</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that PRE.6 is resourced and followed.</w:t>
      </w:r>
    </w:p>
    <w:p>
      <w:pPr>
        <w:pStyle w:val="ListParagraph"/>
        <w:numPr>
          <w:ilvl w:val="0"/>
          <w:numId w:val="1"/>
        </w:numPr>
        <w:spacing w:after="60"/>
      </w:pPr>
      <w:r>
        <w:rPr>
          <w:sz w:val="22"/>
          <w:szCs w:val="22"/>
        </w:rPr>
        <w:t xml:space="preserve">Acts on rights violations, consent failures and communication breaches that reach top leadership.</w:t>
      </w:r>
    </w:p>
    <w:p>
      <w:pPr>
        <w:pStyle w:val="ListParagraph"/>
        <w:numPr>
          <w:ilvl w:val="0"/>
          <w:numId w:val="1"/>
        </w:numPr>
        <w:spacing w:after="60"/>
      </w:pPr>
      <w:r>
        <w:rPr>
          <w:sz w:val="22"/>
          <w:szCs w:val="22"/>
        </w:rPr>
        <w:t xml:space="preserve">Patient Accounts In-Charge</w:t>
      </w:r>
    </w:p>
    <w:p>
      <w:pPr>
        <w:pStyle w:val="ListParagraph"/>
        <w:numPr>
          <w:ilvl w:val="0"/>
          <w:numId w:val="1"/>
        </w:numPr>
        <w:spacing w:after="60"/>
      </w:pPr>
      <w:r>
        <w:rPr>
          <w:sz w:val="22"/>
          <w:szCs w:val="22"/>
        </w:rPr>
        <w:t xml:space="preserve">Owns day-to-day implementation and records for this standard.</w:t>
      </w:r>
    </w:p>
    <w:p>
      <w:pPr>
        <w:pStyle w:val="ListParagraph"/>
        <w:numPr>
          <w:ilvl w:val="0"/>
          <w:numId w:val="1"/>
        </w:numPr>
        <w:spacing w:after="60"/>
      </w:pPr>
      <w:r>
        <w:rPr>
          <w:sz w:val="22"/>
          <w:szCs w:val="22"/>
        </w:rPr>
        <w:t xml:space="preserve">Guest Relations / Patient Rights Officer</w:t>
      </w:r>
    </w:p>
    <w:p>
      <w:pPr>
        <w:pStyle w:val="ListParagraph"/>
        <w:numPr>
          <w:ilvl w:val="0"/>
          <w:numId w:val="1"/>
        </w:numPr>
        <w:spacing w:after="60"/>
      </w:pPr>
      <w:r>
        <w:rPr>
          <w:sz w:val="22"/>
          <w:szCs w:val="22"/>
        </w:rPr>
        <w:t xml:space="preserve">Supports rights display, counselling, complaint access and family communication as this standard requires.</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Heading1"/>
        <w:spacing w:after="120" w:before="280"/>
      </w:pPr>
      <w:r>
        <w:t xml:space="preserve">7.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Sample of records for each OE PRE.6.a–d.</w:t>
      </w:r>
    </w:p>
    <w:p>
      <w:pPr>
        <w:pStyle w:val="ListParagraph"/>
        <w:numPr>
          <w:ilvl w:val="0"/>
          <w:numId w:val="1"/>
        </w:numPr>
        <w:spacing w:after="60"/>
      </w:pPr>
      <w:r>
        <w:rPr>
          <w:sz w:val="22"/>
          <w:szCs w:val="22"/>
        </w:rPr>
        <w:t xml:space="preserve">Asterisked elements (none) have document evidence as required.</w:t>
      </w:r>
    </w:p>
    <w:p>
      <w:pPr>
        <w:pStyle w:val="ListParagraph"/>
        <w:numPr>
          <w:ilvl w:val="0"/>
          <w:numId w:val="1"/>
        </w:numPr>
        <w:spacing w:after="60"/>
      </w:pPr>
      <w:r>
        <w:rPr>
          <w:sz w:val="22"/>
          <w:szCs w:val="22"/>
        </w:rPr>
        <w:t xml:space="preserve">CORE elements (a)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This policy is reviewed «annually», and sooner after a related rights incident, consent failure or complaint cluster.</w:t>
      </w:r>
    </w:p>
    <w:p>
      <w:pPr>
        <w:pStyle w:val="Heading1"/>
        <w:spacing w:after="120" w:before="280"/>
      </w:pPr>
      <w:r>
        <w:t xml:space="preserve">8.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Information on Expected Costs policy of «Hospital Name».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Patient Rights and Education, standard PRE.6. Official portal PDF (OE text, counts, levels, asterisks).</w:t>
      </w:r>
    </w:p>
    <w:p>
      <w:pPr>
        <w:pStyle w:val="ListParagraph"/>
        <w:numPr>
          <w:ilvl w:val="0"/>
          <w:numId w:val="1"/>
        </w:numPr>
        <w:spacing w:after="60"/>
      </w:pPr>
      <w:r>
        <w:rPr>
          <w:sz w:val="22"/>
          <w:szCs w:val="22"/>
        </w:rPr>
        <w:t xml:space="preserve">NABH Guidebook to Accreditation Standards for Hospitals, 6th Edition — PRE.6 interpretations (source PDF md5 2c4489ee98de4ae9b49cba168ea9f42a; OCR policies/source/hco6_pre_guidebook_ocr.txt).</w:t>
      </w:r>
    </w:p>
    <w:p>
      <w:pPr>
        <w:pStyle w:val="ListParagraph"/>
        <w:numPr>
          <w:ilvl w:val="0"/>
          <w:numId w:val="1"/>
        </w:numPr>
        <w:spacing w:after="60"/>
      </w:pPr>
      <w:r>
        <w:rPr>
          <w:sz w:val="22"/>
          <w:szCs w:val="22"/>
        </w:rPr>
        <w:t xml:space="preserve">Internal documents of «Hospital Name»: Patient Rights display and pamphlet, informed-consent list and forms, tariff and estimate process, feedback and complaints guidance, and communication models named for PRE.6.</w:t>
      </w:r>
    </w:p>
    <w:p>
      <w:pPr>
        <w:pStyle w:val="Heading1"/>
        <w:spacing w:after="120" w:before="280"/>
      </w:pPr>
      <w:r>
        <w:t xml:space="preserve">10. Distribution</w:t>
      </w:r>
    </w:p>
    <w:p>
      <w:pPr>
        <w:spacing w:after="140"/>
      </w:pPr>
      <w:r>
        <w:rPr>
          <w:sz w:val="22"/>
          <w:szCs w:val="22"/>
        </w:rPr>
        <w:t xml:space="preserve">Medical Superintendent; Patient Accounts In-Charge; Nursing Superintendent; Guest Relations / Patient Rights Officer; Quality Coordinator; department clinical staff covered by PRE.6</w:t>
      </w:r>
    </w:p>
    <w:p>
      <w:pPr>
        <w:pStyle w:val="Heading1"/>
        <w:spacing w:after="120" w:before="280"/>
      </w:pPr>
      <w:r>
        <w:t xml:space="preserve">11. Abbreviations</w:t>
      </w:r>
    </w:p>
    <w:p>
      <w:pPr>
        <w:spacing w:after="140"/>
      </w:pPr>
      <w:r>
        <w:rPr>
          <w:sz w:val="22"/>
          <w:szCs w:val="22"/>
        </w:rPr>
        <w:t xml:space="preserve">CAPA — Corrective and Preventive Action
CORE — Core objective element (NABH)
HCO — Hospital (Full Accreditation programme under NABH Hospitals 6th Edition)
IEC — Information, Education and Communication
IMS — Information Management System (NABH Hospitals chapter)
NABH — National Accreditation Board for Hospitals and Healthcare Providers
NACO — National AIDS Control Organisation
OE — Objective Element
PRE — Patient Rights and Education (NABH Hospitals chapter)
PREM — Patient-Reported Experience Measure
SPIKES — Setting, Perception, Invitation/information, Knowledge, Empathy, Summarize/strategize (breaking-bad-news model named in the Guidebook)</w:t>
      </w:r>
    </w:p>
    <w:p>
      <w:pPr>
        <w:pStyle w:val="Heading1"/>
        <w:spacing w:after="120" w:before="280"/>
      </w:pPr>
      <w:r>
        <w:t xml:space="preserve">12. Traceability to NABH HCO Full Accreditation 6th Edition PRE.6</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PRE.6.a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patient and / or family members are made aware of the pricing policy in different settings (out-patient, emergency, ICU and in-patient).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Patient Accounts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PRE.6.b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relevant tariff list is available to patients.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Patient Accounts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PRE.6.c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patient and/or family members are explained about the expected costs.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Patient Accounts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PRE.6.d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 and/or family are informed about the financial implications when there is a change in the care plan.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Patient Accounts In-Charge</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PRE.6.a — The patient and / or family members are made aware of the pricing policy in different settings (out-patient, emergency, ICU and in-patient).</w:t>
      </w:r>
    </w:p>
    <w:p>
      <w:pPr>
        <w:pStyle w:val="ListParagraph"/>
        <w:numPr>
          <w:ilvl w:val="0"/>
          <w:numId w:val="1"/>
        </w:numPr>
        <w:spacing w:after="60"/>
      </w:pPr>
      <w:r>
        <w:rPr>
          <w:sz w:val="22"/>
          <w:szCs w:val="22"/>
        </w:rPr>
        <w:t xml:space="preserve">Records showing PRE.6.a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PRE.6.a reviewed «quarterly».</w:t>
      </w:r>
    </w:p>
    <w:p>
      <w:pPr>
        <w:pStyle w:val="ListParagraph"/>
        <w:numPr>
          <w:ilvl w:val="0"/>
          <w:numId w:val="1"/>
        </w:numPr>
        <w:spacing w:after="60"/>
      </w:pPr>
      <w:r>
        <w:rPr>
          <w:sz w:val="22"/>
          <w:szCs w:val="22"/>
        </w:rPr>
        <w:t xml:space="preserve">CORE-element sample with no critical gaps in the quarter under review.</w:t>
      </w:r>
    </w:p>
    <w:p>
      <w:pPr>
        <w:pStyle w:val="Heading2"/>
        <w:spacing w:after="100" w:before="220"/>
      </w:pPr>
      <w:r>
        <w:t xml:space="preserve">PRE.6.b — The relevant tariff list is available to patients.</w:t>
      </w:r>
    </w:p>
    <w:p>
      <w:pPr>
        <w:pStyle w:val="ListParagraph"/>
        <w:numPr>
          <w:ilvl w:val="0"/>
          <w:numId w:val="1"/>
        </w:numPr>
        <w:spacing w:after="60"/>
      </w:pPr>
      <w:r>
        <w:rPr>
          <w:sz w:val="22"/>
          <w:szCs w:val="22"/>
        </w:rPr>
        <w:t xml:space="preserve">Records showing PRE.6.b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PRE.6.b reviewed «quarterly».</w:t>
      </w:r>
    </w:p>
    <w:p>
      <w:pPr>
        <w:pStyle w:val="Heading2"/>
        <w:spacing w:after="100" w:before="220"/>
      </w:pPr>
      <w:r>
        <w:t xml:space="preserve">PRE.6.c — The patient and/or family members are explained about the expected costs.</w:t>
      </w:r>
    </w:p>
    <w:p>
      <w:pPr>
        <w:pStyle w:val="ListParagraph"/>
        <w:numPr>
          <w:ilvl w:val="0"/>
          <w:numId w:val="1"/>
        </w:numPr>
        <w:spacing w:after="60"/>
      </w:pPr>
      <w:r>
        <w:rPr>
          <w:sz w:val="22"/>
          <w:szCs w:val="22"/>
        </w:rPr>
        <w:t xml:space="preserve">Records showing PRE.6.c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PRE.6.c reviewed «quarterly».</w:t>
      </w:r>
    </w:p>
    <w:p>
      <w:pPr>
        <w:pStyle w:val="Heading2"/>
        <w:spacing w:after="100" w:before="220"/>
      </w:pPr>
      <w:r>
        <w:t xml:space="preserve">PRE.6.d — Patient and/or family are informed about the financial implications when there is a change in the care plan.</w:t>
      </w:r>
    </w:p>
    <w:p>
      <w:pPr>
        <w:pStyle w:val="ListParagraph"/>
        <w:numPr>
          <w:ilvl w:val="0"/>
          <w:numId w:val="1"/>
        </w:numPr>
        <w:spacing w:after="60"/>
      </w:pPr>
      <w:r>
        <w:rPr>
          <w:sz w:val="22"/>
          <w:szCs w:val="22"/>
        </w:rPr>
        <w:t xml:space="preserve">Records showing PRE.6.d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PRE.6.d reviewed «quarterly».</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«HCO/PRE/POL/06»  |  Controlled document  |  Information on Expected Costs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2026-08-21T06:32:18.862Z</dcterms:created>
  <dcterms:modified xsi:type="dcterms:W3CDTF">2026-08-21T06:32:18.862Z</dcterms:modified>
</cp:coreProperties>
</file>

<file path=docProps/custom.xml><?xml version="1.0" encoding="utf-8"?>
<Properties xmlns="http://schemas.openxmlformats.org/officeDocument/2006/custom-properties" xmlns:vt="http://schemas.openxmlformats.org/officeDocument/2006/docPropsVTypes"/>
</file>