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Registration, Admission and Transfer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spacing w:after="140"/>
      </w:pPr>
      <w:r>
        <w:rPr>
          <w:sz w:val="22"/>
          <w:szCs w:val="22"/>
        </w:rPr>
        <w:t xml:space="preserve">The chapter intent is that registration, admission and transfer are orderly, safe and clinically driven.</w:t>
      </w:r>
    </w:p>
    <w:p>
      <w:pPr>
        <w:spacing w:after="140"/>
      </w:pPr>
      <w:r>
        <w:rPr>
          <w:sz w:val="22"/>
          <w:szCs w:val="22"/>
        </w:rPr>
        <w:t xml:space="preserve">This policy owns registration, admission and transfer. PRE owns patient information and consent. AAC.3 owns assessment and care plan. AAC.7 owns continuity and handover during care. AAC.8 owns discharge.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 xml:space="preserve">It covers the six elements AAC.2.a–f: registration and admission mechanism, unique identification, acceptance criteria, bed-management when beds are unavailable, clinical prioritisation, and transfer-in / transfer-out / referral.</w:t>
      </w:r>
    </w:p>
    <w:p>
      <w:pPr>
        <w:spacing w:after="140"/>
      </w:pPr>
      <w:r>
        <w:rPr>
          <w:sz w:val="22"/>
          <w:szCs w:val="22"/>
        </w:rPr>
        <w:t xml:space="preserve">Boundaries:</w:t>
      </w:r>
    </w:p>
    <w:p>
      <w:pPr>
        <w:pStyle w:val="ListParagraph"/>
        <w:numPr>
          <w:ilvl w:val="0"/>
          <w:numId w:val="1"/>
        </w:numPr>
        <w:spacing w:after="60"/>
      </w:pPr>
      <w:r>
        <w:rPr>
          <w:sz w:val="22"/>
          <w:szCs w:val="22"/>
        </w:rPr>
        <w:t xml:space="preserve">PRE owns patient information at registration (PRE.1) and consent (PRE.3). This policy owns the registration and admission process itself.</w:t>
      </w:r>
    </w:p>
    <w:p>
      <w:pPr>
        <w:pStyle w:val="ListParagraph"/>
        <w:numPr>
          <w:ilvl w:val="0"/>
          <w:numId w:val="1"/>
        </w:numPr>
        <w:spacing w:after="60"/>
      </w:pPr>
      <w:r>
        <w:rPr>
          <w:sz w:val="22"/>
          <w:szCs w:val="22"/>
        </w:rPr>
        <w:t xml:space="preserve">AAC.7 owns clinical handover communication. This policy owns the transfer logistics (criteria, documentation, transport).</w:t>
      </w:r>
    </w:p>
    <w:p>
      <w:pPr>
        <w:pStyle w:val="ListParagraph"/>
        <w:numPr>
          <w:ilvl w:val="0"/>
          <w:numId w:val="1"/>
        </w:numPr>
        <w:spacing w:after="60"/>
      </w:pPr>
      <w:r>
        <w:rPr>
          <w:sz w:val="22"/>
          <w:szCs w:val="22"/>
        </w:rPr>
        <w:t xml:space="preserve">AAC.3 owns initial assessment and care plan. This policy owns that a patient is accepted only if the required service can be provided.</w:t>
      </w:r>
    </w:p>
    <w:p>
      <w:pPr>
        <w:pStyle w:val="ListParagraph"/>
        <w:numPr>
          <w:ilvl w:val="0"/>
          <w:numId w:val="1"/>
        </w:numPr>
        <w:spacing w:after="60"/>
      </w:pPr>
      <w:r>
        <w:rPr>
          <w:sz w:val="22"/>
          <w:szCs w:val="22"/>
        </w:rPr>
        <w:t xml:space="preserve">PSQ.2 owns quality indicators. Registration turnaround and bed-occupancy data feed PSQ.2.</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 xml:space="preserve">the patient or family gives informed consent for the transfer (consent method stays with PRE.3).</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Root-cause analysis is required when the same registration or transfer defect recurs; the organisation's defined recurrence threshold applies, as documented in the hospital's Root Cause Analysis procedure.</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AAC — Access, Assessment and Continuity of Care (NABH SHCO chapter 2)
CAPA — corrective and preventive action
NABH — National Accreditation Board for Hospitals and Healthcare Providers
OE — objective element
PRE — Patient Rights and Education (NABH SHCO chapter 4)
SHCO — Standards for Small Healthcare Organisations</w:t>
      </w:r>
    </w:p>
    <w:p>
      <w:pPr>
        <w:pStyle w:val="Heading1"/>
        <w:spacing w:after="120" w:before="280"/>
      </w:pPr>
      <w:r>
        <w:t>12. Traceability to NABH SHCO 3rd Edition AAC.2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AAC.2.</w:t>
      </w:r>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«AAC/POL/02»  |  Controlled document  |  Policy on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