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spacing w:after="140"/>
      </w:pPr>
      <w:r>
        <w:rPr>
          <w:sz w:val="22"/>
          <w:szCs w:val="22"/>
        </w:rPr>
        <w:t xml:space="preserve">The chapter intent is that the discharge process is orderly and the discharge summary is complete and understandable.</w:t>
      </w:r>
    </w:p>
    <w:p>
      <w:pPr>
        <w:spacing w:after="140"/>
      </w:pPr>
      <w:r>
        <w:rPr>
          <w:sz w:val="22"/>
          <w:szCs w:val="22"/>
        </w:rPr>
        <w:t xml:space="preserve">This policy owns the discharge process and discharge summary content. AAC.7 owns continuity during care. AAC.3 owns assessment and care planning. MOM.9 owns implant batch/serial in the discharge summary (boundary: implant traceability is MOM.9's requirement, not duplicated here). PRE.2 owns the patient's right of access to records.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spacing w:after="140"/>
      </w:pPr>
      <w:r>
        <w:rPr>
          <w:sz w:val="22"/>
          <w:szCs w:val="22"/>
        </w:rPr>
        <w:t xml:space="preserve">Boundaries:</w:t>
      </w:r>
    </w:p>
    <w:p>
      <w:pPr>
        <w:pStyle w:val="ListParagraph"/>
        <w:numPr>
          <w:ilvl w:val="0"/>
          <w:numId w:val="1"/>
        </w:numPr>
        <w:spacing w:after="60"/>
      </w:pPr>
      <w:r>
        <w:rPr>
          <w:sz w:val="22"/>
          <w:szCs w:val="22"/>
        </w:rPr>
        <w:t xml:space="preserve">MOM.9 owns implant batch/serial in the discharge summary. This policy does not duplicate that requirement.</w:t>
      </w:r>
    </w:p>
    <w:p>
      <w:pPr>
        <w:pStyle w:val="ListParagraph"/>
        <w:numPr>
          <w:ilvl w:val="0"/>
          <w:numId w:val="1"/>
        </w:numPr>
        <w:spacing w:after="60"/>
      </w:pPr>
      <w:r>
        <w:rPr>
          <w:sz w:val="22"/>
          <w:szCs w:val="22"/>
        </w:rPr>
        <w:t xml:space="preserve">AAC.2 owns transfer-out. This policy owns discharge (patient leaving the hospital's care).</w:t>
      </w:r>
    </w:p>
    <w:p>
      <w:pPr>
        <w:pStyle w:val="ListParagraph"/>
        <w:numPr>
          <w:ilvl w:val="0"/>
          <w:numId w:val="1"/>
        </w:numPr>
        <w:spacing w:after="60"/>
      </w:pPr>
      <w:r>
        <w:rPr>
          <w:sz w:val="22"/>
          <w:szCs w:val="22"/>
        </w:rPr>
        <w:t xml:space="preserve">PRE.3 owns consent including for discharge against medical advice.</w:t>
      </w:r>
    </w:p>
    <w:p>
      <w:pPr>
        <w:pStyle w:val="ListParagraph"/>
        <w:numPr>
          <w:ilvl w:val="0"/>
          <w:numId w:val="1"/>
        </w:numPr>
        <w:spacing w:after="60"/>
      </w:pPr>
      <w:r>
        <w:rPr>
          <w:sz w:val="22"/>
          <w:szCs w:val="22"/>
        </w:rPr>
        <w:t xml:space="preserve">PRE.5 owns final billing explanation. This policy owns the clinical discharge summary.</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LAMA — leaving against medical advice
MOM — Management of Medication (NABH SHCO chapter)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