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 xml:space="preserve">Boundaries: PRE.3 owns the consent method; this policy owns that consent was obtained before the procedure. PSQ owns the quality programme; this policy owns the surgical safety checklist and OT quality assurance. COP.11.i and COP.11.j apply only if «Hospital Name» operates an organ transplant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 xml:space="preserve">It covers the procedure lifecycle from preoperative assessment through post-operative documentation, OT facilities, quality assurance, and organ transplant/donation where applicable. It does not cover the consent method (PRE.3), the overall patient safety programme (PSQ), or anaesthesia services (COP.10).</w:t>
      </w:r>
    </w:p>
    <w:p>
      <w:pPr>
        <w:spacing w:after="140"/>
      </w:pPr>
      <w:r>
        <w:rPr>
          <w:sz w:val="22"/>
          <w:szCs w:val="22"/>
        </w:rPr>
        <w:t xml:space="preserve">COP.11.i and COP.11.j (organ transplant and organ-donation awareness)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 xml:space="preserve">PRE.3 owns the consent method. 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 xml:space="preserve">«Hospital Name» implements a quality assurance programme for clinical procedures and OT services. PSQ owns the overall patient safety programme; this step owns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 surgical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p>
      <w:pPr>
        <w:spacing w:after="140"/>
      </w:pPr>
      <w:r>
        <w:rPr>
          <w:sz w:val="22"/>
          <w:szCs w:val="22"/>
        </w:rPr>
        <w:t xml:space="preserve">CAPA — corrective and preventive action
NABH — National Accreditation Board for Hospitals and Healthcare Providers
OE — objective element
OT — operation theatre
PPE — personal protective equipment
PSQ — Patient Safety and Quality Improvement (NABH SHCO chapter)
QA — quality assurance
ROTTO — Regional Organ and Tissue Transplant Organisation
SHCO — Standards for Small Healthcare Organisations
SOTTO — State Organ and Tissue Transplant Organisation
THOTA — Transplantation of Human Organs and Tissues Act
WHO — World Health Organization</w:t>
      </w:r>
    </w:p>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