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 xml:space="preserve">It covers MOM.5.a–f.</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 xml:space="preserve">It covers MOM.5.a–f: safe dispensing; recall handling; near-expiry handling; labelling; high-risk order verification; and return of medications.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storage. MOM.3 owns prescribing. MOM.4 owns uniform order writing.</w:t>
      </w:r>
    </w:p>
    <w:p>
      <w:pPr>
        <w:pStyle w:val="ListParagraph"/>
        <w:numPr>
          <w:ilvl w:val="0"/>
          <w:numId w:val="1"/>
        </w:numPr>
        <w:spacing w:after="60"/>
      </w:pPr>
      <w:r>
        <w:rPr>
          <w:sz w:val="22"/>
          <w:szCs w:val="22"/>
        </w:rPr>
        <w:t xml:space="preserve">MOM.6 owns administration. This policy ends at the point the labelled medication leaves the pharmacy or dispensing area.</w:t>
      </w:r>
    </w:p>
    <w:p>
      <w:pPr>
        <w:pStyle w:val="ListParagraph"/>
        <w:numPr>
          <w:ilvl w:val="0"/>
          <w:numId w:val="1"/>
        </w:numPr>
        <w:spacing w:after="60"/>
      </w:pPr>
      <w:r>
        <w:rPr>
          <w:sz w:val="22"/>
          <w:szCs w:val="22"/>
        </w:rPr>
        <w:t xml:space="preserve">MOM.2.c owns the high-risk medication list. This policy owns the verification step for high-risk orders at dispensing.</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 xml:space="preserve">The pharmacist receives the prescription, verifies it meets MOM.4 requirements (authorised, legible, complete), checks the patient's allergy record (MOM.3.c),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 xml:space="preserve">The Pharmacy In-Charge reviews near-expiry stock «monthly» and arranges return to supplier, transfer to another facility, or planned consumption where clinically appropriate. Medications that reach expiry are quarantined per MOM.2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 xml:space="preserve">Every medication on the high-risk list (MOM.2.c)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Root-cause analysis is required when the same dispensing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FEFO — first expiry, first out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