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in Support Services</w:t>
      </w:r>
    </w:p>
    <w:p>
      <w:pPr>
        <w:spacing w:after="240"/>
        <w:jc w:val="center"/>
      </w:pPr>
      <w:r>
        <w:rPr>
          <w:i/>
          <w:iCs/>
          <w:sz w:val="20"/>
          <w:szCs w:val="20"/>
        </w:rPr>
        <w:t xml:space="preserve">HCO Full Accreditation, 6th Edition — IPC.4.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processes in support services.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IPC.4: The organisation implements the infection prevention and control processes in support services.</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infection prevention and control in support services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infection prevention and control in support services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IPC.4 so that the organisation implements the infection prevention and control processes in support services.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appropriate engineering controls to prevent infections.</w:t>
      </w:r>
    </w:p>
    <w:p>
      <w:pPr>
        <w:spacing w:after="80"/>
      </w:pPr>
      <w:r>
        <w:rPr>
          <w:sz w:val="22"/>
          <w:szCs w:val="22"/>
        </w:rPr>
        <w:t xml:space="preserve">2. Do not skip: The organisation designs and implements a plan to reduce the risk of infection during construction and...</w:t>
      </w:r>
    </w:p>
    <w:p>
      <w:pPr>
        <w:spacing w:after="80"/>
      </w:pPr>
      <w:r>
        <w:rPr>
          <w:sz w:val="22"/>
          <w:szCs w:val="22"/>
        </w:rPr>
        <w:t xml:space="preserve">3. Do not skip: The organisation adheres to housekeeping procedures.</w:t>
      </w:r>
    </w:p>
    <w:p>
      <w:pPr>
        <w:spacing w:after="80"/>
      </w:pPr>
      <w:r>
        <w:rPr>
          <w:sz w:val="22"/>
          <w:szCs w:val="22"/>
        </w:rPr>
        <w:t xml:space="preserve">4. Do not skip: Biomedical waste (BMW) is handled appropriately and safely.</w:t>
      </w:r>
    </w:p>
    <w:p>
      <w:pPr>
        <w:spacing w:after="80"/>
      </w:pPr>
      <w:r>
        <w:rPr>
          <w:sz w:val="22"/>
          <w:szCs w:val="22"/>
        </w:rPr>
        <w:t xml:space="preserve">5. Do not skip: The organisation adheres to laundry and linen management processes.</w:t>
      </w:r>
    </w:p>
    <w:p>
      <w:pPr>
        <w:spacing w:after="80"/>
      </w:pPr>
      <w:r>
        <w:rPr>
          <w:sz w:val="22"/>
          <w:szCs w:val="22"/>
        </w:rPr>
        <w:t xml:space="preserve">6. Do not skip: The organisation adheres to kitchen sanitation and food-handling issues.</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an IPC.4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has appropriate engineering controls to prevent...</w:t>
      </w:r>
    </w:p>
    <w:p>
      <w:pPr>
        <w:spacing w:after="140"/>
      </w:pPr>
      <w:r>
        <w:rPr>
          <w:sz w:val="22"/>
          <w:szCs w:val="22"/>
        </w:rPr>
        <w:t xml:space="preserve">Engineering controls to prevent infection include layout of patient-care areas (including spacing between beds as the organisation defines, default one–two metres where the building allows), OT air-handling as designed, and water/plumbing that does not create infection risk.</w:t>
      </w:r>
    </w:p>
    <w:p>
      <w:pPr>
        <w:spacing w:after="140"/>
      </w:pPr>
      <w:r>
        <w:rPr>
          <w:sz w:val="22"/>
          <w:szCs w:val="22"/>
        </w:rPr>
        <w:t xml:space="preserve">The «Engineering In-Charge» and the «Infection Prevention and Control Officer» review these controls «annually» and after renovation.</w:t>
      </w:r>
    </w:p>
    <w:p>
      <w:pPr>
        <w:spacing w:after="140"/>
      </w:pPr>
      <w:r>
        <w:rPr>
          <w:sz w:val="22"/>
          <w:szCs w:val="22"/>
        </w:rPr>
        <w:t xml:space="preserve">Method note (from guidebook interpretation): This shall include the design of patient care areas (optimum spacing between beds is one-two metres), operating rooms including zoning of OT, air quality and water supply. Refer to NABH guidelines on OT air-conditioning. Issues such as air-conditioning plant and equipment maintenance, cleaning of air-conditioning ducts/filters, air handling units, cleaning of cooling towers, cleaning/replacement of filters, prevention of fungal colonisation shall be included. Water-supply sources and system of supply, testing for water quality must be included. Refer to FMS.2.f., FMS.3.c. and COP. 14.g. _b. (.</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designs and implements a plan to reduce the risk of...</w:t>
      </w:r>
    </w:p>
    <w:p>
      <w:pPr>
        <w:spacing w:after="140"/>
      </w:pPr>
      <w:r>
        <w:rPr>
          <w:sz w:val="22"/>
          <w:szCs w:val="22"/>
        </w:rPr>
        <w:t xml:space="preserve">Before construction or renovation in or next to a patient-care area, an infection-control risk assessment (ICRA or equivalent validated tool) is completed and a written plan of barriers, traffic, dust and water controls is implemented.</w:t>
      </w:r>
    </w:p>
    <w:p>
      <w:pPr>
        <w:spacing w:after="140"/>
      </w:pPr>
      <w:r>
        <w:rPr>
          <w:sz w:val="22"/>
          <w:szCs w:val="22"/>
        </w:rPr>
        <w:t xml:space="preserve">Starting works without that plan is a stop-work trigger (section 6). The «Infection Prevention and Control Officer» signs the plan; engineering keeps the file.</w:t>
      </w:r>
    </w:p>
    <w:p>
      <w:pPr>
        <w:spacing w:after="140"/>
      </w:pPr>
      <w:r>
        <w:rPr>
          <w:sz w:val="22"/>
          <w:szCs w:val="22"/>
        </w:rPr>
        <w:t xml:space="preserve">Method note (from guidebook interpretation): A validated tool (for example infection prevention and control risk assessment tool)(ICRA) shall be used to identify the risk of infection during construction and renovation. Facility construction/renovation could ensure that when new facilities are built, infection prevention and control is considered from the design stage onwards. Any renovation work in the hospital shall be planned with the infection prevention and control team concerning architectural segregation, traffic flow, use of materials, etc. Refer to FMS.1.e. i}.</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adheres to housekeeping procedures</w:t>
      </w:r>
    </w:p>
    <w:p>
      <w:pPr>
        <w:spacing w:after="140"/>
      </w:pPr>
      <w:r>
        <w:rPr>
          <w:sz w:val="22"/>
          <w:szCs w:val="22"/>
        </w:rPr>
        <w:t xml:space="preserve">Housekeeping procedures are written and followed at every level: wards, OT, public areas including toilets, and support areas. Cleaning frequency, product, method and terminal clean after isolation are defined.</w:t>
      </w:r>
    </w:p>
    <w:p>
      <w:pPr>
        <w:spacing w:after="140"/>
      </w:pPr>
      <w:r>
        <w:rPr>
          <w:sz w:val="22"/>
          <w:szCs w:val="22"/>
        </w:rPr>
        <w:t xml:space="preserve">The «Housekeeping In-Charge» trains staff. Effectiveness is monitored under IPC.6.f. This is a CORE asterisked element.</w:t>
      </w:r>
    </w:p>
    <w:p>
      <w:pPr>
        <w:spacing w:after="140"/>
      </w:pPr>
      <w:r>
        <w:rPr>
          <w:sz w:val="22"/>
          <w:szCs w:val="22"/>
        </w:rPr>
        <w:t xml:space="preserve">Method note (from guidebook interpretation): Housekeeping shall be addressed at all levels of the organisation, for example ward, OT, public areas including toilets, corridors. Regular cleaning to remove visible dirt and dust is mandatory. This includes the environment, fixtures, fomites, furniture, furnishings, equipment, etc., as applicable. A risk stratification matrix may be used to determine the frequency of cleaning. The physical environment may be divided into several areas depending on the risk of transmitting microorganisms. The criteria used to identify these areas can include the number of footfalls, the type of activity performed (for example, clinical versus non-clinical) and the probability of being exposed to body fluid (for example, in an operation theatre or laboratory). It is preferable that the organisation follows a uniform policy across different departments within the organisation. The common disinfectants used are identified as per national / international guidelines, dilution protocols are established, and its usage in the appropriate situation is complied with. It shall also include procedures for terminal cleaning, blood and body fluid cleanup and isolation rooms. A dusting of any sort inside the clinical areas shall be avoided. A good reference is “CDC Guideline for Disinfection and Sterilization in Healthcare Facilities, 2008” and “Swachhta Guidelines for Public Health Facilities”. HE cone.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Biomedical waste (BMW) is handled appropriately and safely</w:t>
      </w:r>
    </w:p>
    <w:p>
      <w:pPr>
        <w:spacing w:after="140"/>
      </w:pPr>
      <w:r>
        <w:rPr>
          <w:sz w:val="22"/>
          <w:szCs w:val="22"/>
        </w:rPr>
        <w:t xml:space="preserve">Biomedical waste is segregated at source into the statutory colour-coded bags/containers, handled with PPE, stored as required, and handed to the authorised vendor. The «Infection Prevention and Control Committee»/team monitors the programme as statute requires.</w:t>
      </w:r>
    </w:p>
    <w:p>
      <w:pPr>
        <w:spacing w:after="140"/>
      </w:pPr>
      <w:r>
        <w:rPr>
          <w:sz w:val="22"/>
          <w:szCs w:val="22"/>
        </w:rPr>
        <w:t xml:space="preserve">BMW without segregation or PPE is a stop-work trigger (section 6). This CORE element follows statutory provisions named in the Guidebook interpretation.</w:t>
      </w:r>
    </w:p>
    <w:p>
      <w:pPr>
        <w:spacing w:after="140"/>
      </w:pPr>
      <w:r>
        <w:rPr>
          <w:sz w:val="22"/>
          <w:szCs w:val="22"/>
        </w:rPr>
        <w:t xml:space="preserve">Method note (from guidebook interpretation): Proper segregation and collection of biomedical waste from patient-care areas of the hospital are implemented. Wastes to be segregated and collected in different colour-coded bags and containers as per statutory provisions. Monitoring shall be done by members of the infection prevention and control committee/team. Biomedical waste shall be handled in the proper manner using appropriate personal protective equipment. The organisation ensures that biomedical waste is stored in accordance with statutory provisions. Biomedical waste is handed over to the authorised vendor for transport to the site of treatment and disposal. Monitoring of biomedical waste management program shall be done as per statutory requirements.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adheres to laundry and linen management processes</w:t>
      </w:r>
    </w:p>
    <w:p>
      <w:pPr>
        <w:spacing w:after="140"/>
      </w:pPr>
      <w:r>
        <w:rPr>
          <w:sz w:val="22"/>
          <w:szCs w:val="22"/>
        </w:rPr>
        <w:t xml:space="preserve">Laundry and linen processes — in-house or outsourced — cover collection, transport, wash, and change-of-linen frequency. Used linen from isolation is bagged as the manual states.</w:t>
      </w:r>
    </w:p>
    <w:p>
      <w:pPr>
        <w:spacing w:after="140"/>
      </w:pPr>
      <w:r>
        <w:rPr>
          <w:sz w:val="22"/>
          <w:szCs w:val="22"/>
        </w:rPr>
        <w:t xml:space="preserve">The «Laundry In-Charge» (or the outsourced supervisor named in the contract) keeps process records. The «Infection Prevention and Control Nurse» audits «quarterly».</w:t>
      </w:r>
    </w:p>
    <w:p>
      <w:pPr>
        <w:spacing w:after="140"/>
      </w:pPr>
      <w:r>
        <w:rPr>
          <w:sz w:val="22"/>
          <w:szCs w:val="22"/>
        </w:rPr>
        <w:t xml:space="preserve">Method note (from guidebook interpretation): The laundry can be in-house or outsourced. The organisation shall implement its documentation regarding the change of linen. The organisation shall implement its defined process of handling linen in patient care =) ie units, during transport to the laundry (either in-house or outsourced) and inside the laundry. Process for storage and distribution of clean linen within the organisation shall be complied. The separation of clean linen from dirty linen shall be maintained at all times. If outsourced, the organisation shall ensure that it establishes adequate controls to ensure infection prevention and control.</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adheres to kitchen sanitation and food-handling issues</w:t>
      </w:r>
    </w:p>
    <w:p>
      <w:pPr>
        <w:spacing w:after="140"/>
      </w:pPr>
      <w:r>
        <w:rPr>
          <w:sz w:val="22"/>
          <w:szCs w:val="22"/>
        </w:rPr>
        <w:t xml:space="preserve">Kitchen sanitation and food handling follow statutory requirements, including screening of food handlers, even when catering is outsourced: separate prep, off-floor storage, pest control, temperature of service, and no contact between cleaning chemicals and food.</w:t>
      </w:r>
    </w:p>
    <w:p>
      <w:pPr>
        <w:spacing w:after="140"/>
      </w:pPr>
      <w:r>
        <w:rPr>
          <w:sz w:val="22"/>
          <w:szCs w:val="22"/>
        </w:rPr>
        <w:t xml:space="preserve">The «Kitchen / Dietary In-Charge» owns daily checks. The «Infection Prevention and Control Officer» includes kitchen in the IPC round.</w:t>
      </w:r>
    </w:p>
    <w:p>
      <w:pPr>
        <w:spacing w:after="140"/>
      </w:pPr>
      <w:r>
        <w:rPr>
          <w:sz w:val="22"/>
          <w:szCs w:val="22"/>
        </w:rPr>
        <w:t xml:space="preserve">Method note (from guidebook interpretation): This shall be applicable even if this activity is outsourced. The organisation shall adhere to all statutory requirements, including screening of kitchen workers and food handlers. It is preferable that they also adhere to national and international guidelines while addressing this issue. Kitchen sanitation measures are implemented to prevent the risk of cross-contamination. Food is prepared, handled, stored and distributed safely. The dietary services shall be designed in a manner that there is no criss-cross of traffic. All the activities shall fall in a sequence. The organisation shall ensure that hygienic conditions are followed throughout. Other indicative points are: * dedicated food storage/refrigeration areas exist to ensure food preservation; * food storage areas/refrigerators are maintained appropriately; * all food products are stored off the floor; * cleaning supplies stored in a separate location away from food; * separate dedicated food preparation areas exist; * measures are in place to ensure that flies and insects do not come in contact with prepared/stored food; * food distribution to patients occurs, where possible, in temperature appropriate food service trolleys (hot food kept hot and cold food kept cold).</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handle biomedical waste without the required colour-coded segregation and PPE.</w:t>
      </w:r>
    </w:p>
    <w:p>
      <w:pPr>
        <w:spacing w:after="140"/>
      </w:pPr>
      <w:r>
        <w:rPr>
          <w:sz w:val="22"/>
          <w:szCs w:val="22"/>
        </w:rPr>
        <w:t xml:space="preserve">Do not start construction or renovation in a patient-care area until the infection-risk plan for that work has been completed and the «Infection Prevention and Control Officer» has agreed the controls.</w:t>
      </w:r>
    </w:p>
    <w:p>
      <w:pPr>
        <w:spacing w:after="140"/>
      </w:pPr>
      <w:r>
        <w:rPr>
          <w:sz w:val="22"/>
          <w:szCs w:val="22"/>
        </w:rPr>
        <w:t xml:space="preserve">Stop-work applies to the waste-handling act and to the construction/renovation start. Emergency repair that cannot wait follows the documented emergency-works IPC controls and is recorded.</w:t>
      </w:r>
    </w:p>
    <w:p>
      <w:pPr>
        <w:spacing w:after="140"/>
      </w:pPr>
      <w:r>
        <w:rPr>
          <w:sz w:val="22"/>
          <w:szCs w:val="22"/>
        </w:rPr>
        <w:t xml:space="preserve">The person who stops tells the «Infection Prevention and Control Officer» and the «Medical Superintendent» the same shift. Refusing unsafe waste handling or unplanned works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IPC.4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in Support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IPC.4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IPC.4.</w:t>
      </w:r>
    </w:p>
    <w:p>
      <w:pPr>
        <w:pStyle w:val="Heading1"/>
        <w:spacing w:after="120" w:before="280"/>
      </w:pPr>
      <w:r>
        <w:t xml:space="preserve">11.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IPC.4</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appropriate engineering controls to prevent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designs and implements a plan to reduce the risk of infection during construction and renovation.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housekeeping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Biomedical waste (BMW) is handled appropriately and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laundry and linen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kitchen sanitation and food-handling issues.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IPC.4.a — The organisation has appropriate engineering controls to prevent infections.</w:t>
      </w:r>
    </w:p>
    <w:p>
      <w:pPr>
        <w:pStyle w:val="ListParagraph"/>
        <w:numPr>
          <w:ilvl w:val="0"/>
          <w:numId w:val="1"/>
        </w:numPr>
        <w:spacing w:after="60"/>
      </w:pPr>
      <w:r>
        <w:rPr>
          <w:sz w:val="22"/>
          <w:szCs w:val="22"/>
        </w:rPr>
        <w:t xml:space="preserve">Engineering-controls record — patient-area layout/spacing, OT air-handling, water/plumbing.</w:t>
      </w:r>
    </w:p>
    <w:p>
      <w:pPr>
        <w:pStyle w:val="ListParagraph"/>
        <w:numPr>
          <w:ilvl w:val="0"/>
          <w:numId w:val="1"/>
        </w:numPr>
        <w:spacing w:after="60"/>
      </w:pPr>
      <w:r>
        <w:rPr>
          <w:sz w:val="22"/>
          <w:szCs w:val="22"/>
        </w:rPr>
        <w:t xml:space="preserve">Annual and post-renovation review record by the Engineering In-Charge and IPC Officer.</w:t>
      </w:r>
    </w:p>
    <w:p>
      <w:pPr>
        <w:pStyle w:val="ListParagraph"/>
        <w:numPr>
          <w:ilvl w:val="0"/>
          <w:numId w:val="1"/>
        </w:numPr>
        <w:spacing w:after="60"/>
      </w:pPr>
      <w:r>
        <w:rPr>
          <w:sz w:val="22"/>
          <w:szCs w:val="22"/>
        </w:rPr>
        <w:t xml:space="preserve">Corrective record for any control found deficient.</w:t>
      </w:r>
    </w:p>
    <w:p>
      <w:pPr>
        <w:pStyle w:val="Heading2"/>
        <w:spacing w:after="100" w:before="220"/>
      </w:pPr>
      <w:r>
        <w:t xml:space="preserve">IPC.4.b — The organisation designs and implements a plan to reduce the risk of infection during construction and renovation.</w:t>
      </w:r>
    </w:p>
    <w:p>
      <w:pPr>
        <w:pStyle w:val="ListParagraph"/>
        <w:numPr>
          <w:ilvl w:val="0"/>
          <w:numId w:val="1"/>
        </w:numPr>
        <w:spacing w:after="60"/>
      </w:pPr>
      <w:r>
        <w:rPr>
          <w:sz w:val="22"/>
          <w:szCs w:val="22"/>
        </w:rPr>
        <w:t xml:space="preserve">Completed infection-control risk assessment (ICRA or equivalent) before construction or renovation.</w:t>
      </w:r>
    </w:p>
    <w:p>
      <w:pPr>
        <w:pStyle w:val="ListParagraph"/>
        <w:numPr>
          <w:ilvl w:val="0"/>
          <w:numId w:val="1"/>
        </w:numPr>
        <w:spacing w:after="60"/>
      </w:pPr>
      <w:r>
        <w:rPr>
          <w:sz w:val="22"/>
          <w:szCs w:val="22"/>
        </w:rPr>
        <w:t xml:space="preserve">Written barrier, traffic, dust and water-control plan for the project.</w:t>
      </w:r>
    </w:p>
    <w:p>
      <w:pPr>
        <w:pStyle w:val="ListParagraph"/>
        <w:numPr>
          <w:ilvl w:val="0"/>
          <w:numId w:val="1"/>
        </w:numPr>
        <w:spacing w:after="60"/>
      </w:pPr>
      <w:r>
        <w:rPr>
          <w:sz w:val="22"/>
          <w:szCs w:val="22"/>
        </w:rPr>
        <w:t xml:space="preserve">IPC Officer sign-off record before works started.</w:t>
      </w:r>
    </w:p>
    <w:p>
      <w:pPr>
        <w:pStyle w:val="Heading2"/>
        <w:spacing w:after="100" w:before="220"/>
      </w:pPr>
      <w:r>
        <w:t xml:space="preserve">IPC.4.c — The organisation adheres to housekeeping procedures.</w:t>
      </w:r>
    </w:p>
    <w:p>
      <w:pPr>
        <w:pStyle w:val="ListParagraph"/>
        <w:numPr>
          <w:ilvl w:val="0"/>
          <w:numId w:val="1"/>
        </w:numPr>
        <w:spacing w:after="60"/>
      </w:pPr>
      <w:r>
        <w:rPr>
          <w:sz w:val="22"/>
          <w:szCs w:val="22"/>
        </w:rPr>
        <w:t xml:space="preserve">Written housekeeping procedures by area — wards, OT, public areas, support areas — with frequency, product and method.</w:t>
      </w:r>
    </w:p>
    <w:p>
      <w:pPr>
        <w:pStyle w:val="ListParagraph"/>
        <w:numPr>
          <w:ilvl w:val="0"/>
          <w:numId w:val="1"/>
        </w:numPr>
        <w:spacing w:after="60"/>
      </w:pPr>
      <w:r>
        <w:rPr>
          <w:sz w:val="22"/>
          <w:szCs w:val="22"/>
        </w:rPr>
        <w:t xml:space="preserve">Terminal-clean record after isolation use.</w:t>
      </w:r>
    </w:p>
    <w:p>
      <w:pPr>
        <w:pStyle w:val="ListParagraph"/>
        <w:numPr>
          <w:ilvl w:val="0"/>
          <w:numId w:val="1"/>
        </w:numPr>
        <w:spacing w:after="60"/>
      </w:pPr>
      <w:r>
        <w:rPr>
          <w:sz w:val="22"/>
          <w:szCs w:val="22"/>
        </w:rPr>
        <w:t xml:space="preserve">Cross-reference to the IPC.6.f effectiveness-monitoring result.</w:t>
      </w:r>
    </w:p>
    <w:p>
      <w:pPr>
        <w:pStyle w:val="Heading2"/>
        <w:spacing w:after="100" w:before="220"/>
      </w:pPr>
      <w:r>
        <w:t xml:space="preserve">IPC.4.d — Biomedical waste (BMW) is handled appropriately and safely.</w:t>
      </w:r>
    </w:p>
    <w:p>
      <w:pPr>
        <w:pStyle w:val="ListParagraph"/>
        <w:numPr>
          <w:ilvl w:val="0"/>
          <w:numId w:val="1"/>
        </w:numPr>
        <w:spacing w:after="60"/>
      </w:pPr>
      <w:r>
        <w:rPr>
          <w:sz w:val="22"/>
          <w:szCs w:val="22"/>
        </w:rPr>
        <w:t xml:space="preserve">Biomedical-waste segregation record at source, colour-coded per statute.</w:t>
      </w:r>
    </w:p>
    <w:p>
      <w:pPr>
        <w:pStyle w:val="ListParagraph"/>
        <w:numPr>
          <w:ilvl w:val="0"/>
          <w:numId w:val="1"/>
        </w:numPr>
        <w:spacing w:after="60"/>
      </w:pPr>
      <w:r>
        <w:rPr>
          <w:sz w:val="22"/>
          <w:szCs w:val="22"/>
        </w:rPr>
        <w:t xml:space="preserve">PPE-use record for BMW handling.</w:t>
      </w:r>
    </w:p>
    <w:p>
      <w:pPr>
        <w:pStyle w:val="ListParagraph"/>
        <w:numPr>
          <w:ilvl w:val="0"/>
          <w:numId w:val="1"/>
        </w:numPr>
        <w:spacing w:after="60"/>
      </w:pPr>
      <w:r>
        <w:rPr>
          <w:sz w:val="22"/>
          <w:szCs w:val="22"/>
        </w:rPr>
        <w:t xml:space="preserve">Authorised-vendor handover record — manifest or log.</w:t>
      </w:r>
    </w:p>
    <w:p>
      <w:pPr>
        <w:pStyle w:val="Heading2"/>
        <w:spacing w:after="100" w:before="220"/>
      </w:pPr>
      <w:r>
        <w:t xml:space="preserve">IPC.4.e — The organisation adheres to laundry and linen management processes.</w:t>
      </w:r>
    </w:p>
    <w:p>
      <w:pPr>
        <w:pStyle w:val="ListParagraph"/>
        <w:numPr>
          <w:ilvl w:val="0"/>
          <w:numId w:val="1"/>
        </w:numPr>
        <w:spacing w:after="60"/>
      </w:pPr>
      <w:r>
        <w:rPr>
          <w:sz w:val="22"/>
          <w:szCs w:val="22"/>
        </w:rPr>
        <w:t xml:space="preserve">Written laundry and linen process — collection, transport, wash, change frequency.</w:t>
      </w:r>
    </w:p>
    <w:p>
      <w:pPr>
        <w:pStyle w:val="ListParagraph"/>
        <w:numPr>
          <w:ilvl w:val="0"/>
          <w:numId w:val="1"/>
        </w:numPr>
        <w:spacing w:after="60"/>
      </w:pPr>
      <w:r>
        <w:rPr>
          <w:sz w:val="22"/>
          <w:szCs w:val="22"/>
        </w:rPr>
        <w:t xml:space="preserve">Isolation-linen bagging record.</w:t>
      </w:r>
    </w:p>
    <w:p>
      <w:pPr>
        <w:pStyle w:val="ListParagraph"/>
        <w:numPr>
          <w:ilvl w:val="0"/>
          <w:numId w:val="1"/>
        </w:numPr>
        <w:spacing w:after="60"/>
      </w:pPr>
      <w:r>
        <w:rPr>
          <w:sz w:val="22"/>
          <w:szCs w:val="22"/>
        </w:rPr>
        <w:t xml:space="preserve">Quarterly audit record by the IPC Nurse.</w:t>
      </w:r>
    </w:p>
    <w:p>
      <w:pPr>
        <w:pStyle w:val="Heading2"/>
        <w:spacing w:after="100" w:before="220"/>
      </w:pPr>
      <w:r>
        <w:t xml:space="preserve">IPC.4.f — The organisation adheres to kitchen sanitation and food-handling issues.</w:t>
      </w:r>
    </w:p>
    <w:p>
      <w:pPr>
        <w:pStyle w:val="ListParagraph"/>
        <w:numPr>
          <w:ilvl w:val="0"/>
          <w:numId w:val="1"/>
        </w:numPr>
        <w:spacing w:after="60"/>
      </w:pPr>
      <w:r>
        <w:rPr>
          <w:sz w:val="22"/>
          <w:szCs w:val="22"/>
        </w:rPr>
        <w:t xml:space="preserve">Kitchen sanitation and food-handling written procedure, including food-handler screening record.</w:t>
      </w:r>
    </w:p>
    <w:p>
      <w:pPr>
        <w:pStyle w:val="ListParagraph"/>
        <w:numPr>
          <w:ilvl w:val="0"/>
          <w:numId w:val="1"/>
        </w:numPr>
        <w:spacing w:after="60"/>
      </w:pPr>
      <w:r>
        <w:rPr>
          <w:sz w:val="22"/>
          <w:szCs w:val="22"/>
        </w:rPr>
        <w:t xml:space="preserve">Daily check record by the Kitchen/Dietary In-Charge.</w:t>
      </w:r>
    </w:p>
    <w:p>
      <w:pPr>
        <w:pStyle w:val="ListParagraph"/>
        <w:numPr>
          <w:ilvl w:val="0"/>
          <w:numId w:val="1"/>
        </w:numPr>
        <w:spacing w:after="60"/>
      </w:pPr>
      <w:r>
        <w:rPr>
          <w:sz w:val="22"/>
          <w:szCs w:val="22"/>
        </w:rPr>
        <w:t xml:space="preserve">IPC round record that includes the kitchen.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provisions for biomedical waste handling as named in NABH IPC.4, including colour-coded segregation, storage, authorised vendor and monitoring as required under applicable Biomedical Waste Management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«HCO/IPC/POL/04»  |  Controlled document  |  Infection Prevention and Control in Support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2026-08-21T14:56:31.794Z</dcterms:created>
  <dcterms:modified xsi:type="dcterms:W3CDTF">2026-08-21T14:56:31.796Z</dcterms:modified>
</cp:coreProperties>
</file>

<file path=docProps/custom.xml><?xml version="1.0" encoding="utf-8"?>
<Properties xmlns="http://schemas.openxmlformats.org/officeDocument/2006/custom-properties" xmlns:vt="http://schemas.openxmlformats.org/officeDocument/2006/docPropsVTypes"/>
</file>