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Safety Programme in Laboratory and Imaging Services</w:t>
      </w:r>
    </w:p>
    <w:p>
      <w:pPr>
        <w:spacing w:after="240"/>
        <w:jc w:val="center"/>
      </w:pPr>
      <w:r>
        <w:rPr>
          <w:i/>
          <w:iCs/>
          <w:sz w:val="20"/>
          <w:szCs w:val="20"/>
        </w:rPr>
        <w:t xml:space="preserve">Laboratory and imaging safety programme.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 xml:space="preserve">The chapter intent is that laboratory and imaging staff and patients are safe from hazards specific to those services.</w:t>
      </w:r>
    </w:p>
    <w:p>
      <w:pPr>
        <w:spacing w:after="140"/>
      </w:pPr>
      <w:r>
        <w:rPr>
          <w:sz w:val="22"/>
          <w:szCs w:val="22"/>
        </w:rPr>
        <w:t xml:space="preserve">This policy owns laboratory and imaging safety. AAC.4 owns laboratory services (the service process). AAC.5 owns imaging services (the service process). HIC owns hospital-wide infection control; this policy owns specimen safety and radiation safety specific to lab and imaging.</w:t>
      </w:r>
    </w:p>
    <w:p>
      <w:pPr>
        <w:spacing w:after="140"/>
      </w:pPr>
      <w:r>
        <w:rPr>
          <w:sz w:val="22"/>
          <w:szCs w:val="22"/>
        </w:rPr>
        <w:t xml:space="preserve">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 xml:space="preserve">It covers the five elements AAC.6.a–e: laboratory safety programme, laboratory safe practices and safety measures, patient screening before imaging, radiation safety devices and training, and imaging signage.</w:t>
      </w:r>
    </w:p>
    <w:p>
      <w:pPr>
        <w:spacing w:after="140"/>
      </w:pPr>
      <w:r>
        <w:rPr>
          <w:sz w:val="22"/>
          <w:szCs w:val="22"/>
        </w:rPr>
        <w:t xml:space="preserve">Boundaries:</w:t>
      </w:r>
    </w:p>
    <w:p>
      <w:pPr>
        <w:pStyle w:val="ListParagraph"/>
        <w:numPr>
          <w:ilvl w:val="0"/>
          <w:numId w:val="1"/>
        </w:numPr>
        <w:spacing w:after="60"/>
      </w:pPr>
      <w:r>
        <w:rPr>
          <w:sz w:val="22"/>
          <w:szCs w:val="22"/>
        </w:rPr>
        <w:t xml:space="preserve">HIC owns infection control in laboratory and imaging (hand hygiene, waste segregation categories, sharps policy). This policy owns specimen-handling safety and radiation safety.</w:t>
      </w:r>
    </w:p>
    <w:p>
      <w:pPr>
        <w:pStyle w:val="ListParagraph"/>
        <w:numPr>
          <w:ilvl w:val="0"/>
          <w:numId w:val="1"/>
        </w:numPr>
        <w:spacing w:after="60"/>
      </w:pPr>
      <w:r>
        <w:rPr>
          <w:sz w:val="22"/>
          <w:szCs w:val="22"/>
        </w:rPr>
        <w:t xml:space="preserve">AAC.4 owns the laboratory service process. This policy owns the safety programme that wraps it.</w:t>
      </w:r>
    </w:p>
    <w:p>
      <w:pPr>
        <w:pStyle w:val="ListParagraph"/>
        <w:numPr>
          <w:ilvl w:val="0"/>
          <w:numId w:val="1"/>
        </w:numPr>
        <w:spacing w:after="60"/>
      </w:pPr>
      <w:r>
        <w:rPr>
          <w:sz w:val="22"/>
          <w:szCs w:val="22"/>
        </w:rPr>
        <w:t xml:space="preserve">AAC.5 owns the imaging service process. This policy owns the safety programme that wraps it.</w:t>
      </w:r>
    </w:p>
    <w:p>
      <w:pPr>
        <w:pStyle w:val="ListParagraph"/>
        <w:numPr>
          <w:ilvl w:val="0"/>
          <w:numId w:val="1"/>
        </w:numPr>
        <w:spacing w:after="60"/>
      </w:pPr>
      <w:r>
        <w:rPr>
          <w:sz w:val="22"/>
          <w:szCs w:val="22"/>
        </w:rPr>
        <w:t xml:space="preserve">Spell out: personal protective equipment (PPE).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 xml:space="preserve">waste management: segregation at source per Bio-Medical Waste Management Rules, 2016 (HIC owns the hospital-wide waste stream; this step owns the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 xml:space="preserve">Root-cause analysis is required when the same safety defect recurs within six months.</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AAC.6.</w:t>
      </w:r>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SHCO chapter 2)
AERB — Atomic Energy Regulatory Board
ALARA — as low as reasonably achievable
BMW — Bio-Medical Waste Management Rules, 2016
CAPA — corrective and preventive action
HIC — Hospital Infection Control (NABH SHCO chapter 3)
MRI — magnetic resonance imaging
NABH — National Accreditation Board for Hospitals and Healthcare Providers
OE — objective element
PC-PNDT — Pre-Conception and Pre-Natal Diagnostic Techniques (Prohibition of Sex Selection) Act, 1994
PPE — personal protective equipment
SHCO — Standards for Small Healthcare Organisations
TLD — thermoluminescent dosimeter</w:t>
      </w:r>
    </w:p>
    <w:p>
      <w:pPr>
        <w:pStyle w:val="Heading1"/>
        <w:spacing w:after="120" w:before="280"/>
      </w:pPr>
      <w:r>
        <w:t xml:space="preserve">13. Traceability to NABH SHCO 3rd Edition AAC.6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«AAC/POL/06»  |  Controlled document  |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