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Higher-Risk Patients: Identification and Management</w:t>
      </w:r>
    </w:p>
    <w:p>
      <w:pPr>
        <w:spacing w:after="240"/>
        <w:jc w:val="center"/>
      </w:pPr>
      <w:r>
        <w:rPr>
          <w:i/>
          <w:iCs/>
          <w:sz w:val="20"/>
          <w:szCs w:val="20"/>
        </w:rPr>
        <w:t xml:space="preserve">Identifying and managing patients at higher risk.</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 xml:space="preserve">Boundaries: PSQ owns patient safety goals; this policy owns clinical identification and management of higher-risk patients. COP.8 owns paediatric-specific safety; this policy owns the broader vulnerable-patient framework.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 xml:space="preserve">It covers identification and management of vulnerable patients, fall risk, pressure ulcers, deep vein thrombosis, and restraint use. It does not own patient safety goals (PSQ) or paediatric-specific safety (COP.8).</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 xml:space="preserve">«Hospital Name» identifies vulnerable patients at or soon after admission. Vulnerable categories include «elderly, paediatric (cross-reference COP.8),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 xml:space="preserve">Management includes «fall-risk signage, bed-rail protocol, footwear check, medication review for fall-contributing drugs, mobility assessment, toileting assistance, and patient/family education». Falls are reported, investigated, and entered into the incident register. PSQ owns the safety-goal target; this policy owns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 xml:space="preserve">Management includes «repositioning schedule, pressure-relieving devices, skin inspection, nutrition optimisation, moisture management, and documentation of skin status». New or worsening pressure ulcers are reported and investigated. PSQ owns the safety-goal target; this policy owns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 xml:space="preserve">Management includes «early mobilisation, mechanical prophylaxis (graduated compression stockings, intermittent pneumatic compression), pharmacological prophylaxis where indicated and not contraindicated, hydration, and patient education». VTE events are reported and investigated. PSQ owns the safety-goal target; this policy owns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 xml:space="preserve">Root-cause analysis is required when a higher-risk patient safety event (fall, new pressure ulcer, VTE, restraint injury) recurs within six months.</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 xml:space="preserve">11. Abbreviations</w:t>
      </w:r>
    </w:p>
    <w:p>
      <w:pPr>
        <w:spacing w:after="140"/>
      </w:pPr>
      <w:r>
        <w:rPr>
          <w:sz w:val="22"/>
          <w:szCs w:val="22"/>
        </w:rPr>
        <w:t xml:space="preserve">CAPA — corrective and preventive action
DVT — deep vein thrombosis
ICU — intensive care unit
NABH — National Accreditation Board for Hospitals and Healthcare Providers
OE — objective element
PSQ — Patient Safety and Quality Improvement (NABH SHCO chapter)
SHCO — Standards for Small Healthcare Organisations
VTE — venous thromboembolism</w:t>
      </w:r>
    </w:p>
    <w:p>
      <w:pPr>
        <w:pStyle w:val="Heading1"/>
        <w:spacing w:after="120" w:before="280"/>
      </w:pPr>
      <w:r>
        <w:t xml:space="preserve">12. Traceability to NABH SHCO 3rd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«COP/POL/12»  |  Controlled document  |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