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Paediatric Services</w:t>
      </w:r>
    </w:p>
    <w:p>
      <w:pPr>
        <w:spacing w:after="240"/>
        <w:jc w:val="center"/>
      </w:pPr>
      <w:r>
        <w:rPr>
          <w:i/>
          <w:iCs/>
          <w:sz w:val="20"/>
          <w:szCs w:val="20"/>
        </w:rPr>
        <w:t xml:space="preserve">Safe paediatric and neonatal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initial patient assessment. This policy owns nutritional, growth, developmental and immunisation assessment specific to paediatric patients (COP.8.e).</w:t>
      </w:r>
    </w:p>
    <w:p>
      <w:pPr>
        <w:pStyle w:val="ListParagraph"/>
        <w:numPr>
          <w:ilvl w:val="0"/>
          <w:numId w:val="1"/>
        </w:numPr>
        <w:spacing w:after="60"/>
      </w:pPr>
      <w:r>
        <w:rPr>
          <w:sz w:val="22"/>
          <w:szCs w:val="22"/>
        </w:rPr>
        <w:t xml:space="preserve">COP.12 owns vulnerable-patient identification generally; this policy owns paediatric-specific safety including abduction and abuse prevention.</w:t>
      </w:r>
    </w:p>
    <w:p>
      <w:pPr>
        <w:pStyle w:val="ListParagraph"/>
        <w:numPr>
          <w:ilvl w:val="0"/>
          <w:numId w:val="1"/>
        </w:numPr>
        <w:spacing w:after="60"/>
      </w:pPr>
      <w:r>
        <w:rPr>
          <w:sz w:val="22"/>
          <w:szCs w:val="22"/>
        </w:rPr>
        <w:t xml:space="preserve">Services not provided by this hospital are recorded absences against the service directory, not copied SOPs.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 xml:space="preserve">Patient assessment for paediatric patients includes nutritional screening, growth charting, developmental milestones and immunisation status. AAC.3 owns initial assessment; this step owns the paediatric-specific components.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 xml:space="preserve">Root-cause analysis is required when a paediatric safety event recurs within six months.</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 xml:space="preserve">11. Abbreviations</w:t>
      </w:r>
    </w:p>
    <w:p>
      <w:pPr>
        <w:spacing w:after="140"/>
      </w:pPr>
      <w:r>
        <w:rPr>
          <w:sz w:val="22"/>
          <w:szCs w:val="22"/>
        </w:rPr>
        <w:t xml:space="preserve">CAPA — corrective and preventive action
IAP — Indian Academy of Pediatrics
NABH — National Accreditation Board for Hospitals and Healthcare Providers
NNF — National Neonatology Forum
OE — objective element
SHCO — Standards for Small Healthcare Organisations
WHO — World Health Organization</w:t>
      </w:r>
    </w:p>
    <w:p>
      <w:pPr>
        <w:pStyle w:val="Heading1"/>
        <w:spacing w:after="120" w:before="280"/>
      </w:pPr>
      <w:r>
        <w:t xml:space="preserve">12. Traceability to NABH SHCO 3rd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«COP/POL/08»  |  Controlled document  |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