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Medical Record Reflects Continuity of Care</w:t>
      </w:r>
    </w:p>
    <w:p>
      <w:pPr>
        <w:spacing w:after="240"/>
        <w:jc w:val="center"/>
      </w:pPr>
      <w:r>
        <w:rPr>
          <w:i/>
          <w:iCs/>
          <w:sz w:val="20"/>
          <w:szCs w:val="20"/>
        </w:rPr>
        <w:t xml:space="preserve">Continuity items in the record, including discharge-summary and cause-of-death copies.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 xml:space="preserve">This policy describes how the medical record at «Hospital Name» contains the continuity-of-care items IMS.3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 xml:space="preserve">IMS.3 owns these as record-completeness requirements. Care chapters own the clinical content: AAC.3 owns assessment and care planning; AAC.7 owns handover and internal transfer mechanics; AAC.2 owns transfer-out mechanics; AAC.8 owns the discharge summary itself; COP owns operative and procedure notes. This policy requires that copies and details are in the record — it does not rewrite those clinical methods.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spacing w:after="140"/>
      </w:pPr>
      <w:r>
        <w:rPr>
          <w:sz w:val="22"/>
          <w:szCs w:val="22"/>
        </w:rPr>
        <w:t xml:space="preserve">It covers the six elements IMS.3.a–f. It does not cover entry authentication (IMS.2), confidentiality of access (IMS.4), retention (IMS.5), or the review programme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AAC.8 owns the discharge summary given to the patient. This policy owns that a copy is in the medical record (IMS.3.d).</w:t>
      </w:r>
    </w:p>
    <w:p>
      <w:pPr>
        <w:pStyle w:val="ListParagraph"/>
        <w:numPr>
          <w:ilvl w:val="0"/>
          <w:numId w:val="1"/>
        </w:numPr>
        <w:spacing w:after="60"/>
      </w:pPr>
      <w:r>
        <w:rPr>
          <w:sz w:val="22"/>
          <w:szCs w:val="22"/>
        </w:rPr>
        <w:t xml:space="preserve">AAC.2 and AAC.7 own transfer-out and internal-handover mechanics. This policy owns that transfer details are in the record when the patient is transferred to another hospital (IMS.3.c).</w:t>
      </w:r>
    </w:p>
    <w:p>
      <w:pPr>
        <w:pStyle w:val="ListParagraph"/>
        <w:numPr>
          <w:ilvl w:val="0"/>
          <w:numId w:val="1"/>
        </w:numPr>
        <w:spacing w:after="60"/>
      </w:pPr>
      <w:r>
        <w:rPr>
          <w:sz w:val="22"/>
          <w:szCs w:val="22"/>
        </w:rPr>
        <w:t xml:space="preserve">AAC.3 owns initial assessment, reassessment and the plan of care. This policy owns that those details are in the record (IMS.3.a–b).</w:t>
      </w:r>
    </w:p>
    <w:p>
      <w:pPr>
        <w:pStyle w:val="ListParagraph"/>
        <w:numPr>
          <w:ilvl w:val="0"/>
          <w:numId w:val="1"/>
        </w:numPr>
        <w:spacing w:after="60"/>
      </w:pPr>
      <w:r>
        <w:rPr>
          <w:sz w:val="22"/>
          <w:szCs w:val="22"/>
        </w:rPr>
        <w:t xml:space="preserve">COP owns operative notes, procedure notes and clinical documentation of care given. This policy owns that those details are in the record (IMS.3.b).</w:t>
      </w:r>
    </w:p>
    <w:p>
      <w:pPr>
        <w:pStyle w:val="ListParagraph"/>
        <w:numPr>
          <w:ilvl w:val="0"/>
          <w:numId w:val="1"/>
        </w:numPr>
        <w:spacing w:after="60"/>
      </w:pPr>
      <w:r>
        <w:rPr>
          <w:sz w:val="22"/>
          <w:szCs w:val="22"/>
        </w:rPr>
        <w:t xml:space="preserve">IMS.4 owns who may access the record. IMS.3.f owns that care providers have access to current and past records for care.</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 xml:space="preserve">The treating doctor records the reason for admission (or the presenting problem for an ambulatory visit), the working or confirmed diagnosis, and the plan of care. AAC.3 owns how assessment and planning are done.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 xml:space="preserve">initial assessment and each reassessment (AAC.3);</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 xml:space="preserve">investigation results (filed or electronically linked — AAC.4/AAC.5 own the reports);</w:t>
      </w:r>
    </w:p>
    <w:p>
      <w:pPr>
        <w:pStyle w:val="ListParagraph"/>
        <w:numPr>
          <w:ilvl w:val="0"/>
          <w:numId w:val="1"/>
        </w:numPr>
        <w:spacing w:after="60"/>
      </w:pPr>
      <w:r>
        <w:rPr>
          <w:sz w:val="22"/>
          <w:szCs w:val="22"/>
        </w:rPr>
        <w:t xml:space="preserve">operative notes and other procedure notes (COP owns the clinical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 xml:space="preserve">Details include: reason for transfer, receiving organisation, date and time of transfer, clinical condition at transfer, documents sent with the patient, and the name of the transferring doctor. AAC.2 owns the transfer-out decision and safety criteria.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 xml:space="preserve">AAC.8 owns the discharge summary given to the patient (including patients leaving against medical advice). 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 xml:space="preserve">The treating doctor (or the doctor who certifies death) ensures a copy of the cause-of-death certificate is filed in the record. AAC.8 owns the death-summary content given to the family.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 xml:space="preserve">IMS.4 owns confidentiality, security and the disclosure gate. 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missing-item rates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IMS — Information Management System (NABH SHCO chapter 10)
NABH — National Accreditation Board for Hospitals and Healthcare Providers
OE — objective element
SHCO — Standards for Small Healthcare Organisations</w:t>
      </w:r>
    </w:p>
    <w:p>
      <w:pPr>
        <w:pStyle w:val="Heading1"/>
        <w:spacing w:after="120" w:before="280"/>
      </w:pPr>
      <w:r>
        <w:t xml:space="preserve">12. Traceability to NABH SHCO 3rd Edition IMS.3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«IMS/POL/03»  |  Controlled document  |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