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Multidisciplinary Committee Guides Pharmacy Services and Medication Management</w:t>
      </w:r>
    </w:p>
    <w:p>
      <w:pPr>
        <w:spacing w:after="240"/>
        <w:jc w:val="center"/>
      </w:pPr>
      <w:r>
        <w:rPr>
          <w:i/>
          <w:iCs/>
          <w:sz w:val="20"/>
          <w:szCs w:val="20"/>
        </w:rPr>
        <w:t xml:space="preserve">Formulary, committee governance and medication acquisition.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implantable prostheses and medical devices in the committee's scope. MOM.9 owns the detailed guidance on procurement, counselling and traceability of implants.</w:t>
      </w:r>
    </w:p>
    <w:p>
      <w:pPr>
        <w:pStyle w:val="ListParagraph"/>
        <w:numPr>
          <w:ilvl w:val="0"/>
          <w:numId w:val="1"/>
        </w:numPr>
        <w:spacing w:after="60"/>
      </w:pPr>
      <w:r>
        <w:rPr>
          <w:sz w:val="22"/>
          <w:szCs w:val="22"/>
        </w:rPr>
        <w:t xml:space="preserve">Medication storage is MOM.2. Prescribing is MOM.3. Dispensing is MOM.5. Administration is MOM.6.</w:t>
      </w:r>
    </w:p>
    <w:p>
      <w:pPr>
        <w:pStyle w:val="ListParagraph"/>
        <w:numPr>
          <w:ilvl w:val="0"/>
          <w:numId w:val="1"/>
        </w:numPr>
        <w:spacing w:after="60"/>
      </w:pPr>
      <w:r>
        <w:rPr>
          <w:sz w:val="22"/>
          <w:szCs w:val="22"/>
        </w:rPr>
        <w:t xml:space="preserve">Safe use of narcotics, chemotherapeutic and radioactive agents is MOM.8.</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 xml:space="preserve">Root-cause analysis is required when the same lapse recurs within six months.</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MOM/POL/01  |  Controlled document  |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