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Stored Appropriately and Are Available Where Required</w:t>
      </w:r>
    </w:p>
    <w:p>
      <w:pPr>
        <w:spacing w:after="240"/>
        <w:jc w:val="center"/>
      </w:pPr>
      <w:r>
        <w:rPr>
          <w:i/>
          <w:iCs/>
          <w:sz w:val="20"/>
          <w:szCs w:val="20"/>
        </w:rPr>
        <w:t xml:space="preserve">Safe storage, high-risk safeguards and emergency medication availability.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building environment (temperature control, ventilation, lighting). This policy owns medication-specific storage conditions (refrigerator temperature logs, light-sensitive storage, controlled-substance security).</w:t>
      </w:r>
    </w:p>
    <w:p>
      <w:pPr>
        <w:pStyle w:val="ListParagraph"/>
        <w:numPr>
          <w:ilvl w:val="0"/>
          <w:numId w:val="1"/>
        </w:numPr>
        <w:spacing w:after="60"/>
      </w:pPr>
      <w:r>
        <w:rPr>
          <w:sz w:val="22"/>
          <w:szCs w:val="22"/>
        </w:rPr>
        <w:t xml:space="preserve">MOM.1 owns the formulary and committee governance. This policy owns how approved medications are stored.</w:t>
      </w:r>
    </w:p>
    <w:p>
      <w:pPr>
        <w:pStyle w:val="ListParagraph"/>
        <w:numPr>
          <w:ilvl w:val="0"/>
          <w:numId w:val="1"/>
        </w:numPr>
        <w:spacing w:after="60"/>
      </w:pPr>
      <w:r>
        <w:rPr>
          <w:sz w:val="22"/>
          <w:szCs w:val="22"/>
        </w:rPr>
        <w:t xml:space="preserve">MOM.5 owns dispensing. MOM.6 owns administration.</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 xml:space="preserve">Root-cause analysis is required when the same storage lapse recurs within six months.</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FEFO — first expiry, first out
LASA — look-alike sound-alike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MOM/POL/02  |  Controlled document  |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