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Implantable Prostheses and Medical Devices Are Used in Accordance with Laid Down Criteria</w:t>
      </w:r>
    </w:p>
    <w:p>
      <w:pPr>
        <w:spacing w:after="240"/>
        <w:jc w:val="center"/>
      </w:pPr>
      <w:r>
        <w:rPr>
          <w:i/>
          <w:iCs/>
          <w:sz w:val="20"/>
          <w:szCs w:val="20"/>
        </w:rPr>
        <w:t xml:space="preserve">Implant procurement, counselling and batch/serial traceability.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 xml:space="preserve">It covers MOM.9.a–c. MOM.1.e places implants within the Multidisciplinary Medication Committee's scope; this policy owns the operational detail.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 xml:space="preserve">It covers MOM.9.a–c: procurement guidance; patient and family counselling; and batch/serial-number traceability.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implants in the committee's scope. This policy owns the procurement guidance, counselling and traceability.</w:t>
      </w:r>
    </w:p>
    <w:p>
      <w:pPr>
        <w:pStyle w:val="ListParagraph"/>
        <w:numPr>
          <w:ilvl w:val="0"/>
          <w:numId w:val="1"/>
        </w:numPr>
        <w:spacing w:after="60"/>
      </w:pPr>
      <w:r>
        <w:rPr>
          <w:sz w:val="22"/>
          <w:szCs w:val="22"/>
        </w:rPr>
        <w:t xml:space="preserve">PRE.3 owns informed consent for surgery and invasive procedures. This policy owns the implant-specific counselling (including precautions).</w:t>
      </w:r>
    </w:p>
    <w:p>
      <w:pPr>
        <w:pStyle w:val="ListParagraph"/>
        <w:numPr>
          <w:ilvl w:val="0"/>
          <w:numId w:val="1"/>
        </w:numPr>
        <w:spacing w:after="60"/>
      </w:pPr>
      <w:r>
        <w:rPr>
          <w:sz w:val="22"/>
          <w:szCs w:val="22"/>
        </w:rPr>
        <w:t xml:space="preserve">COP.10 owns surgical safety. This policy owns the implant record in the medical record and discharge summary.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 xml:space="preserve">Counselling is documented in the medical record. A signed acknowledgement by the patient or authorised representative is obtained. Informed consent for the surgical procedure remains PRE.3;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 xml:space="preserve">3. **Discharge summary** (AAC.8):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 xml:space="preserve">Root-cause analysis is required when the same traceability gap recurs within six months.</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MOM.9.</w:t>
      </w:r>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5)
CAPA — corrective and preventive action
MOM — Management of Medication (NABH SHCO chapter 7)
MRI — magnetic resonance imaging
NABH — National Accreditation Board for Hospitals and Healthcare Providers
OE — objective element
PRE — Patient Rights and Education (NABH SHCO chapter 4)
SHCO — Standards for Small Healthcare Organisations</w:t>
      </w:r>
    </w:p>
    <w:p>
      <w:pPr>
        <w:pStyle w:val="Heading1"/>
        <w:spacing w:after="120" w:before="280"/>
      </w:pPr>
      <w:r>
        <w:t xml:space="preserve">12. Traceability to NABH SHCO 3rd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MOM/POL/09  |  Controlled document  |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