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and Family Rights and Responsibilities</w:t>
      </w:r>
    </w:p>
    <w:p>
      <w:pPr>
        <w:spacing w:after="240"/>
        <w:jc w:val="center"/>
      </w:pPr>
      <w:r>
        <w:rPr>
          <w:i/>
          <w:iCs/>
          <w:sz w:val="20"/>
          <w:szCs w:val="20"/>
        </w:rPr>
        <w:t xml:space="preserve">Patient and family rights at entry and through care. Not a commentary on NABH objective elements.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 xml:space="preserve">The chapter intent is that the organisation defines, protects and promotes patient and family rights and responsibilities, that staff know them and are trained to protect them, and that patients are told their rights and educated about their responsibilities at the time of entering the organisation.</w:t>
      </w:r>
    </w:p>
    <w:p>
      <w:pPr>
        <w:spacing w:after="140"/>
      </w:pPr>
      <w:r>
        <w:rPr>
          <w:sz w:val="22"/>
          <w:szCs w:val="22"/>
        </w:rPr>
        <w:t xml:space="preserve">This policy owns that a documented set exists, is displayed, is made known, is promoted and is protected. The beliefs-values-and-decision-making policy (PRE.2) owns what is in the rights list. This policy does not print that list as a NABH mandate.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 xml:space="preserve">billing and front-desk staff who must not withhold cost information that is a patient right under PRE.2;</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PRE.2 owns the content of the rights list. This policy owns that a current documented set exists, is displayed, is made known, is promoted and is protected.</w:t>
      </w:r>
    </w:p>
    <w:p>
      <w:pPr>
        <w:pStyle w:val="ListParagraph"/>
        <w:numPr>
          <w:ilvl w:val="0"/>
          <w:numId w:val="1"/>
        </w:numPr>
        <w:spacing w:after="60"/>
      </w:pPr>
      <w:r>
        <w:rPr>
          <w:sz w:val="22"/>
          <w:szCs w:val="22"/>
        </w:rPr>
        <w:t xml:space="preserve">PRE.3 owns informed-consent method. A right to consent is in the PRE.2 list; obtaining consent is PRE.3.</w:t>
      </w:r>
    </w:p>
    <w:p>
      <w:pPr>
        <w:pStyle w:val="ListParagraph"/>
        <w:numPr>
          <w:ilvl w:val="0"/>
          <w:numId w:val="1"/>
        </w:numPr>
        <w:spacing w:after="60"/>
      </w:pPr>
      <w:r>
        <w:rPr>
          <w:sz w:val="22"/>
          <w:szCs w:val="22"/>
        </w:rPr>
        <w:t xml:space="preserve">PRE.4 owns education about healthcare needs. Telling a patient their rights at entry is this policy. Teaching about disease, medicines and infection prevention is PRE.4.</w:t>
      </w:r>
    </w:p>
    <w:p>
      <w:pPr>
        <w:pStyle w:val="ListParagraph"/>
        <w:numPr>
          <w:ilvl w:val="0"/>
          <w:numId w:val="1"/>
        </w:numPr>
        <w:spacing w:after="60"/>
      </w:pPr>
      <w:r>
        <w:rPr>
          <w:sz w:val="22"/>
          <w:szCs w:val="22"/>
        </w:rPr>
        <w:t xml:space="preserve">PRE.5 owns expected costs and the pricing policy. A right to cost information is in PRE.2; the tariff method is PRE.5.</w:t>
      </w:r>
    </w:p>
    <w:p>
      <w:pPr>
        <w:pStyle w:val="ListParagraph"/>
        <w:numPr>
          <w:ilvl w:val="0"/>
          <w:numId w:val="1"/>
        </w:numPr>
        <w:spacing w:after="60"/>
      </w:pPr>
      <w:r>
        <w:rPr>
          <w:sz w:val="22"/>
          <w:szCs w:val="22"/>
        </w:rPr>
        <w:t xml:space="preserve">PRE.6 owns feedback and complaint redressal. A complaint about a rights violation is received under PRE.6 and is also a report under this policy. PRE.6 does not replace leadership review here.</w:t>
      </w:r>
    </w:p>
    <w:p>
      <w:pPr>
        <w:pStyle w:val="ListParagraph"/>
        <w:numPr>
          <w:ilvl w:val="0"/>
          <w:numId w:val="1"/>
        </w:numPr>
        <w:spacing w:after="60"/>
      </w:pPr>
      <w:r>
        <w:rPr>
          <w:sz w:val="22"/>
          <w:szCs w:val="22"/>
        </w:rPr>
        <w:t xml:space="preserve">AAC.2 owns registration and the unique identification number. Awareness of rights happens at or beside registration; this policy does not generate the number.</w:t>
      </w:r>
    </w:p>
    <w:p>
      <w:pPr>
        <w:pStyle w:val="ListParagraph"/>
        <w:numPr>
          <w:ilvl w:val="0"/>
          <w:numId w:val="1"/>
        </w:numPr>
        <w:spacing w:after="60"/>
      </w:pPr>
      <w:r>
        <w:rPr>
          <w:sz w:val="22"/>
          <w:szCs w:val="22"/>
        </w:rPr>
        <w:t xml:space="preserve">AAC.8 owns discharge-summary advice on paper. This policy owns rights at entry, not the discharge paper.</w:t>
      </w:r>
    </w:p>
    <w:p>
      <w:pPr>
        <w:pStyle w:val="ListParagraph"/>
        <w:numPr>
          <w:ilvl w:val="0"/>
          <w:numId w:val="1"/>
        </w:numPr>
        <w:spacing w:after="60"/>
      </w:pPr>
      <w:r>
        <w:rPr>
          <w:sz w:val="22"/>
          <w:szCs w:val="22"/>
        </w:rPr>
        <w:t xml:space="preserve">Clinical consent for surgery, anaesthesia, sedation and transfusion (COP.5, COP.9, COP.10, COP.11) own that the relevant consent happened. This policy does not decide whether a unit was hung with consent.</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 xml:space="preserve">«Hospital Name» protects patient and family rights in the course of care — privacy, dignity, refusal, confidentiality, access to the treating doctor's name, and the other rights in the documented set held under PRE.2.</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 xml:space="preserve">The documented set is held by the «Patient Rights Officer». It matches the current rights list owned by PRE.2.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 xml:space="preserve">Promotion to staff happens at induction and «once a year» after that. Staff are shown the documented set, the violation-report route in section 5.4, and that PRE.2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 xml:space="preserve">This step does not rewrite PRE.3 consent method, PRE.5 cost explanation or PRE.6 complaint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 xml:space="preserve">Treating doctors and nurses protect rights at the bedside. The «Patient Rights Officer» holds a short written expectation of protection in each care setting — out-patient, emergency, ward and theatre reception — without reprinting the PRE.2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 xml:space="preserve">Each report is logged with date, reporter (name or "anonymous"), the right said to be violated, a short statement, and who received it. A complaint lodged under PRE.6 that alleges a rights violation also enters this violation log. PRE.6 owns redressal of the complaint as a complaint.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 xml:space="preserve">A complaint that is not a rights violation stays with PRE.6.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under PRE.2;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 current documented set that matches PRE.2.</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(a measurable part of a NABH standard)
PRE — Patient Rights and Education (NABH SHCO chapter 4)
RCA — root-cause analysis
SHCO — Standards for Small Healthcare Organisations
WHO — World Health Organization</w:t>
      </w:r>
    </w:p>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 xml:space="preserve">12. Traceability to NABH SHCO 3rd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