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PRE.1.e — Violation of patient and family rights are monitored, analysed and corrective/preventive action taken by the top leadership of the organisation.</w:t>
      </w:r>
    </w:p>
    <w:p>
      <w:r>
        <w:t>PRE.1 Record 05 — Quarterly leadership violation review and CAPA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top leadership actually reviewed the violation log every quarter and produced dated corrective action with an owner -- not a file that sits untouched between audits.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quarterly review finds two privacy violations in the same ward; the Medical Superintendent orders a refresher briefing for that ward's nursing staff, tracked to closure.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violation file nobody above the ward ever opens cannot catch a repeated pattern -- leadership review is what turns an isolated incident into a system fix before it happens again.</w:t>
            </w:r>
          </w:p>
        </w:tc>
      </w:tr>
    </w:tbl>
    <w:p/>
    <w:p>
      <w:r>
        <w:t>How to fill this in — column by column</w:t>
      </w:r>
    </w:p>
    <w:p>
      <w:r>
        <w:t>Review Quarter: Which quarter.</w:t>
      </w:r>
    </w:p>
    <w:p>
      <w:r>
        <w:t>Violations Reviewed: Number in the log.</w:t>
      </w:r>
    </w:p>
    <w:p>
      <w:r>
        <w:t>Pattern Found (if any): Repeated setting or right.</w:t>
      </w:r>
    </w:p>
    <w:p>
      <w:r>
        <w:t>CAPA / Owner / Due Date: Action decided.</w:t>
      </w:r>
    </w:p>
    <w:p>
      <w:r>
        <w:t>Escalated (Y/N, if open &gt;30 days):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Review Quarter</w:t>
            </w:r>
          </w:p>
        </w:tc>
        <w:tc>
          <w:tcPr>
            <w:tcW w:type="dxa" w:w="1728"/>
          </w:tcPr>
          <w:p>
            <w:r>
              <w:t>Violations Reviewed</w:t>
            </w:r>
          </w:p>
        </w:tc>
        <w:tc>
          <w:tcPr>
            <w:tcW w:type="dxa" w:w="1728"/>
          </w:tcPr>
          <w:p>
            <w:r>
              <w:t>Pattern Found (if any)</w:t>
            </w:r>
          </w:p>
        </w:tc>
        <w:tc>
          <w:tcPr>
            <w:tcW w:type="dxa" w:w="1728"/>
          </w:tcPr>
          <w:p>
            <w:r>
              <w:t>CAPA / Owner / Due Date</w:t>
            </w:r>
          </w:p>
        </w:tc>
        <w:tc>
          <w:tcPr>
            <w:tcW w:type="dxa" w:w="1728"/>
          </w:tcPr>
          <w:p>
            <w:r>
              <w:t>Escalated (Y/N, if open &gt;30 days)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Q2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2</w:t>
            </w:r>
          </w:p>
        </w:tc>
        <w:tc>
          <w:tcPr>
            <w:tcW w:type="dxa" w:w="1728"/>
            <w:shd w:val="clear" w:color="auto" w:fill="FFF2CC"/>
          </w:tcPr>
          <w:p>
            <w:r>
              <w:t>Privacy violations, same ward</w:t>
            </w:r>
          </w:p>
        </w:tc>
        <w:tc>
          <w:tcPr>
            <w:tcW w:type="dxa" w:w="1728"/>
            <w:shd w:val="clear" w:color="auto" w:fill="FFF2CC"/>
          </w:tcPr>
          <w:p>
            <w:r>
              <w:t>Refresher briefing; Nursing Superintendent / 30-Jun-2026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