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PRE.2.b — Patient and family rights include respect for personal dignity and privacy during examination, procedures and treatment.</w:t>
      </w:r>
    </w:p>
    <w:p>
      <w:r>
        <w:t>PRE.2 Record 02 — Dignity and privacy audit sample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screens, closed doors or low voices were actually used during examination -- not assumed because no complaint was made.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quarterly sample of ten examinations confirms a screen was drawn in every case and no diagnosis was discussed in a shared corridor.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corridor discussion overheard by the next patient costs someone their dignity for no clinical reason at all.</w:t>
            </w:r>
          </w:p>
        </w:tc>
      </w:tr>
    </w:tbl>
    <w:p/>
    <w:p>
      <w:r>
        <w:t>How to fill this in — column by column</w:t>
      </w:r>
    </w:p>
    <w:p>
      <w:r>
        <w:t>Audit Date: Date of the audit.</w:t>
      </w:r>
    </w:p>
    <w:p>
      <w:r>
        <w:t>Setting: Out-patient, ward, or emergency.</w:t>
      </w:r>
    </w:p>
    <w:p>
      <w:r>
        <w:t>Encounters Sampled: Number checked.</w:t>
      </w:r>
    </w:p>
    <w:p>
      <w:r>
        <w:t>Privacy Respected (Y/N): Result.</w:t>
      </w:r>
    </w:p>
    <w:p>
      <w:r>
        <w:t>Finding / Action (if any): Any defect and its fix.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Audit Date</w:t>
            </w:r>
          </w:p>
        </w:tc>
        <w:tc>
          <w:tcPr>
            <w:tcW w:type="dxa" w:w="1728"/>
          </w:tcPr>
          <w:p>
            <w:r>
              <w:t>Setting</w:t>
            </w:r>
          </w:p>
        </w:tc>
        <w:tc>
          <w:tcPr>
            <w:tcW w:type="dxa" w:w="1728"/>
          </w:tcPr>
          <w:p>
            <w:r>
              <w:t>Encounters Sampled</w:t>
            </w:r>
          </w:p>
        </w:tc>
        <w:tc>
          <w:tcPr>
            <w:tcW w:type="dxa" w:w="1728"/>
          </w:tcPr>
          <w:p>
            <w:r>
              <w:t>Privacy Respected (Y/N)</w:t>
            </w:r>
          </w:p>
        </w:tc>
        <w:tc>
          <w:tcPr>
            <w:tcW w:type="dxa" w:w="1728"/>
          </w:tcPr>
          <w:p>
            <w:r>
              <w:t>Finding / Action (if any)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15-Jun-2026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Out-patient</w:t>
            </w:r>
          </w:p>
        </w:tc>
        <w:tc>
          <w:tcPr>
            <w:tcW w:type="dxa" w:w="1728"/>
            <w:shd w:val="clear" w:color="auto" w:fill="FFF2CC"/>
          </w:tcPr>
          <w:p>
            <w:r>
              <w:t>10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