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Informed Consent</w:t>
      </w:r>
    </w:p>
    <w:p>
      <w:r>
        <w:t>«Hospital Name» — SOP-PRE.3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SOP-PRE.3</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obtains informed consent wherever it is required -- transfusion, anaesthesia, surgery, research and other invasive or high-risk procedures -- what that consent must actually include, who may give it when a patient cannot decide for themselves, and that it is the person performing the procedure who takes it, not a clerk or nurse on their behalf.</w:t>
            </w:r>
          </w:p>
        </w:tc>
      </w:tr>
    </w:tbl>
    <w:p/>
    <w:tbl>
      <w:tblPr>
        <w:tblStyle w:val="TableGrid"/>
        <w:tblW w:type="auto" w:w="0"/>
        <w:tblLook w:firstColumn="1" w:firstRow="1" w:lastColumn="0" w:lastRow="0" w:noHBand="0" w:noVBand="1" w:val="04A0"/>
      </w:tblPr>
      <w:tblGrid>
        <w:gridCol w:w="8640"/>
      </w:tblGrid>
      <w:tr>
        <w:tc>
          <w:tcPr>
            <w:tcW w:type="dxa" w:w="8640"/>
          </w:tcPr>
          <w:p>
            <w:r>
              <w:t>A nurse is asked to get a signature on a surgical consent form because the surgeon is busy. This SOP is what makes sure that does not happen -- consent for an elective procedure is taken by the person who will actually perform it, every time.</w:t>
            </w:r>
          </w:p>
        </w:tc>
      </w:tr>
    </w:tbl>
    <w:p/>
    <w:tbl>
      <w:tblPr>
        <w:tblStyle w:val="TableGrid"/>
        <w:tblW w:type="auto" w:w="0"/>
        <w:tblLook w:firstColumn="1" w:firstRow="1" w:lastColumn="0" w:lastRow="0" w:noHBand="0" w:noVBand="1" w:val="04A0"/>
      </w:tblPr>
      <w:tblGrid>
        <w:gridCol w:w="8640"/>
      </w:tblGrid>
      <w:tr>
        <w:tc>
          <w:tcPr>
            <w:tcW w:type="dxa" w:w="8640"/>
          </w:tcPr>
          <w:p>
            <w:r>
              <w:t>We do this because a form signed without the procedure, its risks, benefits and alternatives actually being explained is not consent -- it is a signature, and a patient who signed a signature instead of giving consent can rightly say later that they were never asked.</w:t>
            </w:r>
          </w:p>
        </w:tc>
      </w:tr>
    </w:tbl>
    <w:p/>
    <w:p>
      <w:r>
        <w:t>To define when informed consent is required at «Hospital Name», what it must include, who may give it when the patient is incapable of deciding, and that it is taken by the person performing the procedure, adhering to statutory norms.</w:t>
      </w:r>
    </w:p>
    <w:p>
      <w:pPr>
        <w:pStyle w:val="Heading1"/>
      </w:pPr>
      <w:r>
        <w:t>2. Scope</w:t>
      </w:r>
    </w:p>
    <w:p>
      <w:r>
        <w:t>so every situation requiring consent across this hospital follows the same statutory-compliant process, not a different informal practice ward to ward.</w:t>
      </w:r>
    </w:p>
    <w:p>
      <w:r>
        <w:t>Applies to every situation at «Hospital Name» in which informed consent is required: transfusion of blood and blood components, anaesthesia, surgery, initiation of any research protocol this hospital runs, and any other invasive or high-risk procedure or treatment this hospital has named. It binds the person who performs the procedure, doctors and nurses who explain consent, registration staff who schedule elective work, and the Patient Rights Officer who holds the list and process.</w:t>
      </w:r>
    </w:p>
    <w:p>
      <w:pPr>
        <w:pStyle w:val="Heading1"/>
      </w:pPr>
      <w:r>
        <w:t>3. Responsibility</w:t>
      </w:r>
    </w:p>
    <w:p>
      <w:r>
        <w:t>a consent process that exists on paper but is actually carried out by whoever is free at the time is not informed consent -- the person performing the procedure is the one who can actually answer the patient's questions.</w:t>
      </w:r>
    </w:p>
    <w:p>
      <w:r>
        <w:rPr>
          <w:b/>
        </w:rPr>
        <w:t xml:space="preserve">Medical Superintendent: </w:t>
      </w:r>
      <w:r>
        <w:t>Is accountable that informed consent is obtained where required, by the person performing, under a process that adheres to statutory norms.</w:t>
      </w:r>
    </w:p>
    <w:p>
      <w:r>
        <w:rPr>
          <w:b/>
        </w:rPr>
        <w:t xml:space="preserve">Patient Rights Officer: </w:t>
      </w:r>
      <w:r>
        <w:t>Authors and keeps current the list of situations, the process, the information method and the incapacity description.</w:t>
      </w:r>
    </w:p>
    <w:p>
      <w:r>
        <w:rPr>
          <w:b/>
        </w:rPr>
        <w:t xml:space="preserve">Person Performing the Procedure: </w:t>
      </w:r>
      <w:r>
        <w:t>Takes the consent; staff who explain or witness do not replace that person on elective work.</w:t>
      </w:r>
    </w:p>
    <w:p>
      <w:r>
        <w:rPr>
          <w:b/>
        </w:rPr>
        <w:t xml:space="preserve">Doctors and Nurses: </w:t>
      </w:r>
      <w:r>
        <w:t>Record refusal as refusal, not as a missing signature to be fetched later.</w:t>
      </w:r>
    </w:p>
    <w:p>
      <w:r>
        <w:rPr>
          <w:b/>
        </w:rPr>
        <w:t xml:space="preserve">Quality Coordinator: </w:t>
      </w:r>
      <w:r>
        <w:t>Audits consent records quarterly.</w:t>
      </w:r>
    </w:p>
    <w:p>
      <w:pPr>
        <w:pStyle w:val="Heading1"/>
      </w:pPr>
      <w:r>
        <w:t>4. What to do</w:t>
      </w:r>
    </w:p>
    <w:p>
      <w:pPr>
        <w:pStyle w:val="Heading2"/>
      </w:pPr>
      <w:r>
        <w:t>Obtain informed consent wherever it is required, following statutory norms</w:t>
      </w:r>
    </w:p>
    <w:p>
      <w:r>
        <w:t>A patient treated with an invasive or high-risk procedure they never actually agreed to has been treated without their consent, whatever paperwork exists afterward.</w:t>
      </w:r>
    </w:p>
    <w:p>
      <w:r>
        <w:t>The organisation obtains informed consent from the patient or family for situations where it is required, and the process adheres to statutory norms.</w:t>
      </w:r>
    </w:p>
    <w:p>
      <w:r>
        <w:t>Situations where informed consent is required at «Hospital Name» include at least: transfusion of blood and blood components; anaesthesia; surgery; initiation of any research protocol this hospital actually runs; and any other invasive or high-risk procedure or treatment named in the consent situations list held by the Patient Rights Officer. A class the service directory does not provide is a recorded absence, not a copied consent procedure.</w:t>
      </w:r>
    </w:p>
    <w:p>
      <w:r>
        <w:t>The consent process -- when it is obtained, how it is recorded, how refusal is recorded, and how a documented emergency that made prior consent impossible is recorded -- is held by the Patient Rights Officer. Emergency means delay would endanger life or limb; it is not a label for convenience on elective work.</w:t>
      </w:r>
    </w:p>
    <w:p>
      <w:r>
        <w:t>A registered medical practitioner obtains consent consistent with professional practice under national medical regulation. Published consent-practice frameworks may inform this process; they are not pasted in as this hospital's protocol.</w:t>
      </w:r>
    </w:p>
    <w:p>
      <w:pPr>
        <w:pStyle w:val="Heading2"/>
      </w:pPr>
      <w:r>
        <w:t>Include the procedure, risks, benefits, alternatives and performer in a language they understand</w:t>
      </w:r>
    </w:p>
    <w:p>
      <w:r>
        <w:t>A form that lists only "surgery" with nothing about who will perform it or what could go wrong gives the patient nothing real to agree to.</w:t>
      </w:r>
    </w:p>
    <w:p>
      <w:r>
        <w:t>Informed consent includes information regarding the procedure, its risks, benefits, alternatives, and as to who will perform the procedure, in a language that they can understand.</w:t>
      </w:r>
    </w:p>
    <w:p>
      <w:r>
        <w:t>The consent form and conversation cover those elements in «Hindi and English» or the language the patient or family can understand. A form that lists only "surgery", or that is silent on who will perform it, is incomplete.</w:t>
      </w:r>
    </w:p>
    <w:p>
      <w:pPr>
        <w:pStyle w:val="Heading2"/>
      </w:pPr>
      <w:r>
        <w:t>Describe who can give consent when the patient is incapable, and apply it</w:t>
      </w:r>
    </w:p>
    <w:p>
      <w:r>
        <w:t>A single next-of-kin signature used for a child, an unconscious adult, an emergency and a person with mental illness all alike is not a description of who may consent -- it is a shortcut that can go wrong in exactly the case it matters most.</w:t>
      </w:r>
    </w:p>
    <w:p>
      <w:r>
        <w:t>The organisation describes who can give consent when a patient is incapable of independent decision-making, and implements that description.</w:t>
      </w:r>
    </w:p>
    <w:p>
      <w:r>
        <w:t>The description distinguishes a child, an unconscious or otherwise non-communicating adult, a documented emergency, and a person with mental illness as defined in national mental healthcare law where that law applies. For that specific legal category, the nominated representative and advance directive provisions of that law are used without reprinting them here; for other incapacity, this hospital's own written description, held by the Patient Rights Officer, applies.</w:t>
      </w:r>
    </w:p>
    <w:p>
      <w:pPr>
        <w:pStyle w:val="Heading2"/>
      </w:pPr>
      <w:r>
        <w:t>Ensure consent is taken by the person performing the procedure</w:t>
      </w:r>
    </w:p>
    <w:p>
      <w:r>
        <w:t>A clerk or nurse taking consent "for" the surgeon on an elective case means no one who can actually answer the patient's questions was ever in the room when they were asked.</w:t>
      </w:r>
    </w:p>
    <w:p>
      <w:r>
        <w:t>Informed consent is taken by the person performing the procedure.</w:t>
      </w:r>
    </w:p>
    <w:p>
      <w:r>
        <w:t>For surgery, the doctor who will perform the procedure, or a doctor of the same surgical team who will be present and responsible, takes consent. For other classes of procedure requiring consent, the named performer is the doctor who will perform the act. A clerk or nurse taking consent on an elective case does not meet this standard.</w:t>
      </w:r>
    </w:p>
    <w:p>
      <w:pPr>
        <w:pStyle w:val="Heading2"/>
      </w:pPr>
      <w:r>
        <w:t>Know when to stop — and what happens next</w:t>
      </w:r>
    </w:p>
    <w:p>
      <w:r>
        <w:t>Proceeding with an elective or planned high-risk act without valid consent is not a scheduling convenience -- it is treating a patient without their agreement, and that does not become acceptable because the list was already full for the day.</w:t>
      </w:r>
    </w:p>
    <w:p>
      <w:r>
        <w:t>Do not start an elective or planned transfusion, anaesthesia, surgery, research protocol or other invasive or high-risk procedure without valid informed consent from the patient or a person authorised to give it on their behalf.</w:t>
      </w:r>
    </w:p>
    <w:p>
      <w:r>
        <w:t>Emergency exception: when delay would endanger life or limb, treatment may proceed under the documented emergency method. The reason, who decided, and when consent was obtained or renewed as soon as the patient or family could give it, are all recorded. Emergency is not a standing exemption for work that was scheduled.</w:t>
      </w:r>
    </w:p>
    <w:p>
      <w:r>
        <w:t>Stopping applies to the act itself, not to stabilisation before the consent conversation can happen in a true emergency.</w:t>
      </w:r>
    </w:p>
    <w:p>
      <w:r>
        <w:t>The person performing tells the Medical Superintendent or Patient Rights Officer the same shift. Refusing to proceed without consent on an elective case is not a disciplinary matter -- it is the correct call.</w:t>
      </w:r>
    </w:p>
    <w:p>
      <w:pPr>
        <w:pStyle w:val="Heading1"/>
      </w:pPr>
      <w:r>
        <w:t>5. Records</w:t>
      </w:r>
    </w:p>
    <w:p>
      <w:r>
        <w:t>This SOP produces and maintains Records 1-6 (see the PRE.3 Records folder).</w:t>
      </w:r>
    </w:p>
    <w:p>
      <w:pPr>
        <w:pStyle w:val="Heading1"/>
      </w:pPr>
      <w:r>
        <w:t>6. Related SOPs</w:t>
      </w:r>
    </w:p>
    <w:p>
      <w:pPr>
        <w:pStyle w:val="ListParagraph"/>
      </w:pPr>
      <w:r>
        <w:t>Policy on Beliefs, Values and Involvement in Decision-Making (PRE.2)</w:t>
      </w:r>
    </w:p>
    <w:p>
      <w:pPr>
        <w:pStyle w:val="ListParagraph"/>
      </w:pPr>
      <w:r>
        <w:t>Hospital's Information, Education and Communication SOP (PRE.4)</w:t>
      </w:r>
    </w:p>
    <w:p>
      <w:pPr>
        <w:pStyle w:val="ListParagraph"/>
      </w:pPr>
      <w:r>
        <w:t>Hospital's Surgical Safety SOP (COP.11)</w:t>
      </w:r>
    </w:p>
    <w:p>
      <w:pPr>
        <w:pStyle w:val="Heading1"/>
      </w:pPr>
      <w:r>
        <w:t>7. Review</w:t>
      </w:r>
    </w:p>
    <w:p>
      <w:r>
        <w:t>This SOP is reviewed annually, or sooner if a consent was taken by someone other than the performer, an incapacity description gap is found, or statutory norms under national medical or mental healthcare law change.</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Obtain informed consent wherever it is required, following statutory norms — PRE.3.a</w:t>
      </w:r>
    </w:p>
    <w:p>
      <w:r>
        <w:rPr>
          <w:i/>
        </w:rPr>
        <w:t>Verified source(s):</w:t>
      </w:r>
    </w:p>
    <w:p>
      <w:pPr>
        <w:pStyle w:val="ListParagraph"/>
      </w:pPr>
      <w:r>
        <w:t xml:space="preserve">• </w:t>
      </w:r>
      <w:r>
        <w:t xml:space="preserve">Government of India. (2019). </w:t>
      </w:r>
      <w:hyperlink r:id="rId9">
        <w:r>
          <w:rPr>
            <w:color w:val="0563C1"/>
            <w:u w:val="single"/>
          </w:rPr>
          <w:t>The National Medical Commission Act, 2019</w:t>
        </w:r>
      </w:hyperlink>
      <w:r>
        <w:t xml:space="preserve"> (Act No. 30 of 2019) — requires a registered medical practitioner to obtain informed consent consistent with professional practice.</w:t>
      </w:r>
    </w:p>
    <w:p>
      <w:pPr>
        <w:pStyle w:val="ListParagraph"/>
      </w:pPr>
      <w:r>
        <w:t xml:space="preserve">• </w:t>
      </w:r>
      <w:r>
        <w:t>Kumar, A., et al. (2015). Informed consent: Issues and challenges. Journal of Advanced Pharmaceutical Technology &amp; Research — a framework for consent practice, not a pasted protocol.</w:t>
      </w:r>
    </w:p>
    <w:p>
      <w:pPr>
        <w:pStyle w:val="ListParagraph"/>
      </w:pPr>
      <w:r>
        <w:t xml:space="preserve">• </w:t>
      </w:r>
      <w:r>
        <w:t>Nandimath, O. V. (2009). Consent and medical treatment: The legal paradigm in India. Indian Journal of Urology, 25(3), 343–347 — a framework for statutory norms around consent, not a pasted protocol.</w:t>
      </w:r>
    </w:p>
    <w:p>
      <w:pPr>
        <w:pStyle w:val="Heading2"/>
      </w:pPr>
      <w:r>
        <w:t>Include the procedure, risks, benefits, alternatives and performer in a language they understand — PRE.3.b</w:t>
      </w:r>
    </w:p>
    <w:p>
      <w:r>
        <w:rPr>
          <w:i/>
        </w:rPr>
        <w:t>Boundary with other standards:</w:t>
      </w:r>
    </w:p>
    <w:p>
      <w:pPr>
        <w:pStyle w:val="ListParagraph"/>
      </w:pPr>
      <w:r>
        <w:t>• Ongoing education about healthcare needs in the same language is owned by the Information, Education and Communication SOP (PRE.4); this step is the consent conversation itself.</w:t>
      </w:r>
    </w:p>
    <w:p>
      <w:pPr>
        <w:pStyle w:val="Heading2"/>
      </w:pPr>
      <w:r>
        <w:t>Describe who can give consent when the patient is incapable, and apply it — PRE.3.c</w:t>
      </w:r>
    </w:p>
    <w:p>
      <w:r>
        <w:rPr>
          <w:i/>
        </w:rPr>
        <w:t>Verified source(s):</w:t>
      </w:r>
    </w:p>
    <w:p>
      <w:pPr>
        <w:pStyle w:val="ListParagraph"/>
      </w:pPr>
      <w:r>
        <w:t xml:space="preserve">• </w:t>
      </w:r>
      <w:r>
        <w:t xml:space="preserve">Government of India. (2017). </w:t>
      </w:r>
      <w:hyperlink r:id="rId10">
        <w:r>
          <w:rPr>
            <w:color w:val="0563C1"/>
            <w:u w:val="single"/>
          </w:rPr>
          <w:t>The Mental Healthcare Act, 2017</w:t>
        </w:r>
      </w:hyperlink>
      <w:r>
        <w:t xml:space="preserve"> (Act No. 10 of 2017) — governs who may consent on behalf of a person with mental illness as defined in the Act, including the nominated representative and advance directive provisions.</w:t>
      </w:r>
    </w:p>
    <w:p>
      <w:pPr>
        <w:pStyle w:val="Heading2"/>
      </w:pPr>
      <w:r>
        <w:t>Ensure consent is taken by the person performing the procedure — PRE.3.d</w:t>
      </w:r>
    </w:p>
    <w:p>
      <w:pPr>
        <w:pStyle w:val="Heading2"/>
      </w:pPr>
      <w:r>
        <w:t>Know when to stop — and what happens next — PRE.3</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1">
        <w:r>
          <w:rPr>
            <w:color w:val="0563C1"/>
            <w:u w:val="single"/>
          </w:rPr>
          <w:t>NABH SHCO Accreditation Programme page</w:t>
        </w:r>
      </w:hyperlink>
      <w:r>
        <w:t>. Patient Rights and Education chapter, standard PRE.3.</w:t>
      </w:r>
    </w:p>
    <w:p>
      <w:pPr>
        <w:pStyle w:val="ListParagraph"/>
      </w:pPr>
      <w:r>
        <w:t xml:space="preserve">• </w:t>
      </w:r>
      <w:r>
        <w:t xml:space="preserve">Government of India. (2019). </w:t>
      </w:r>
      <w:hyperlink r:id="rId9">
        <w:r>
          <w:rPr>
            <w:color w:val="0563C1"/>
            <w:u w:val="single"/>
          </w:rPr>
          <w:t>The National Medical Commission Act, 2019</w:t>
        </w:r>
      </w:hyperlink>
      <w:r>
        <w:t xml:space="preserve"> (Act No. 30 of 2019) — requires a registered medical practitioner to obtain informed consent consistent with professional practice.</w:t>
      </w:r>
    </w:p>
    <w:p>
      <w:pPr>
        <w:pStyle w:val="ListParagraph"/>
      </w:pPr>
      <w:r>
        <w:t xml:space="preserve">• </w:t>
      </w:r>
      <w:r>
        <w:t xml:space="preserve">Government of India. (2017). </w:t>
      </w:r>
      <w:hyperlink r:id="rId10">
        <w:r>
          <w:rPr>
            <w:color w:val="0563C1"/>
            <w:u w:val="single"/>
          </w:rPr>
          <w:t>The Mental Healthcare Act, 2017</w:t>
        </w:r>
      </w:hyperlink>
      <w:r>
        <w:t xml:space="preserve"> (Act No. 10 of 2017) — governs who may consent on behalf of a person with mental illness as defined in the Act, including the nominated representative and advance directive provisions.</w:t>
      </w:r>
    </w:p>
    <w:p>
      <w:pPr>
        <w:pStyle w:val="ListParagraph"/>
      </w:pPr>
      <w:r>
        <w:t xml:space="preserve">• </w:t>
      </w:r>
      <w:r>
        <w:t>Kumar, A., et al. (2015). Informed consent: Issues and challenges. Journal of Advanced Pharmaceutical Technology &amp; Research — a framework for consent practice, not a pasted protocol.</w:t>
      </w:r>
    </w:p>
    <w:p>
      <w:pPr>
        <w:pStyle w:val="ListParagraph"/>
      </w:pPr>
      <w:r>
        <w:t xml:space="preserve">• </w:t>
      </w:r>
      <w:r>
        <w:t>Nandimath, O. V. (2009). Consent and medical treatment: The legal paradigm in India. Indian Journal of Urology, 25(3), 343–347 — a framework for statutory norms around consent, not a pasted protocol.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diacode.nic.in/handle/123456789/11820" TargetMode="External"/><Relationship Id="rId10" Type="http://schemas.openxmlformats.org/officeDocument/2006/relationships/hyperlink" Target="https://www.indiacode.nic.in/handle/123456789/2249" TargetMode="External"/><Relationship Id="rId11"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