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Information, Education and Communication about Healthcare Needs</w:t>
      </w:r>
    </w:p>
    <w:p>
      <w:pPr>
        <w:spacing w:after="240"/>
        <w:jc w:val="center"/>
      </w:pPr>
      <w:r>
        <w:rPr>
          <w:i/>
          <w:iCs/>
          <w:sz w:val="20"/>
          <w:szCs w:val="20"/>
        </w:rPr>
        <w:t xml:space="preserve">Teaching patients and families about healthcare needs.</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«PRE/POL/04»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and families have a right to information, education and communication about their healthcare needs in a language and manner that is understood by them — not a leaflet they cannot read and never hear explained again.</w:t>
      </w:r>
    </w:p>
    <w:p>
      <w:pPr>
        <w:pStyle w:val="Heading1"/>
        <w:spacing w:after="120" w:before="280"/>
      </w:pPr>
      <w:r>
        <w:t xml:space="preserve">1. Purpose</w:t>
      </w:r>
    </w:p>
    <w:p>
      <w:pPr>
        <w:spacing w:after="140"/>
      </w:pPr>
      <w:r>
        <w:rPr>
          <w:sz w:val="22"/>
          <w:szCs w:val="22"/>
        </w:rPr>
        <w:t xml:space="preserve">This policy says how Preview Hospital educates the patient and/or family in a language and format they can understand; covers medicines and side effects when appropriate, food-drug interaction, diet, nutrition and immunisations, the specific disease process with complications and prevention, preventing healthcare-associated infections; and communicates effectively.</w:t>
      </w:r>
    </w:p>
    <w:p>
      <w:pPr>
        <w:spacing w:after="140"/>
      </w:pPr>
      <w:r>
        <w:rPr>
          <w:sz w:val="22"/>
          <w:szCs w:val="22"/>
        </w:rPr>
        <w:t xml:space="preserve">Rights at entry are PRE.1. The consent conversation is PRE.3. Follow-up advice on the discharge summary is AAC.8.</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wherever a patient or family is taught about healthcare needs: registration after stabilisation, out-patient, emergency, in-patient, day-care, ICU if it exists, and at discharge.</w:t>
      </w:r>
    </w:p>
    <w:p>
      <w:pPr>
        <w:spacing w:after="140"/>
      </w:pPr>
      <w:r>
        <w:rPr>
          <w:sz w:val="22"/>
          <w:szCs w:val="22"/>
        </w:rPr>
        <w:t xml:space="preserve">It binds treating doctors, nurses, the «Patient Rights Officer» as education lead where named, and the «Quality Coordinator» who audits.</w:t>
      </w:r>
    </w:p>
    <w:p>
      <w:pPr>
        <w:spacing w:after="140"/>
      </w:pPr>
      <w:r>
        <w:rPr>
          <w:sz w:val="22"/>
          <w:szCs w:val="22"/>
        </w:rPr>
        <w:t xml:space="preserve">Boundaries:</w:t>
      </w:r>
    </w:p>
    <w:p>
      <w:pPr>
        <w:pStyle w:val="ListParagraph"/>
        <w:numPr>
          <w:ilvl w:val="0"/>
          <w:numId w:val="1"/>
        </w:numPr>
        <w:spacing w:after="60"/>
      </w:pPr>
      <w:r>
        <w:rPr>
          <w:sz w:val="22"/>
          <w:szCs w:val="22"/>
        </w:rPr>
        <w:t xml:space="preserve">PRE.3.b is the consent conversation; this policy is ongoing education in the same language.</w:t>
      </w:r>
    </w:p>
    <w:p>
      <w:pPr>
        <w:pStyle w:val="ListParagraph"/>
        <w:numPr>
          <w:ilvl w:val="0"/>
          <w:numId w:val="1"/>
        </w:numPr>
        <w:spacing w:after="60"/>
      </w:pPr>
      <w:r>
        <w:rPr>
          <w:sz w:val="22"/>
          <w:szCs w:val="22"/>
        </w:rPr>
        <w:t xml:space="preserve">AAC.8 owns follow-up advice on the discharge summary and hands teaching method to PRE.</w:t>
      </w:r>
    </w:p>
    <w:p>
      <w:pPr>
        <w:pStyle w:val="ListParagraph"/>
        <w:numPr>
          <w:ilvl w:val="0"/>
          <w:numId w:val="1"/>
        </w:numPr>
        <w:spacing w:after="60"/>
      </w:pPr>
      <w:r>
        <w:rPr>
          <w:sz w:val="22"/>
          <w:szCs w:val="22"/>
        </w:rPr>
        <w:t xml:space="preserve">MOM.6 administers; MOM.7 captures NM/ME/ADR; PRE.4.b teaches about medicines and side effects.</w:t>
      </w:r>
    </w:p>
    <w:p>
      <w:pPr>
        <w:pStyle w:val="ListParagraph"/>
        <w:numPr>
          <w:ilvl w:val="0"/>
          <w:numId w:val="1"/>
        </w:numPr>
        <w:spacing w:after="60"/>
      </w:pPr>
      <w:r>
        <w:rPr>
          <w:sz w:val="22"/>
          <w:szCs w:val="22"/>
        </w:rPr>
        <w:t xml:space="preserve">COP.13, COP.8 and HIC.3 own clinical diet, immunisation and kitchen method; PRE.4.c teaches.</w:t>
      </w:r>
    </w:p>
    <w:p>
      <w:pPr>
        <w:pStyle w:val="ListParagraph"/>
        <w:numPr>
          <w:ilvl w:val="0"/>
          <w:numId w:val="1"/>
        </w:numPr>
        <w:spacing w:after="60"/>
      </w:pPr>
      <w:r>
        <w:rPr>
          <w:sz w:val="22"/>
          <w:szCs w:val="22"/>
        </w:rPr>
        <w:t xml:space="preserve">HIC.2/HIC.4/HIC.5 own IPC method; PRE.4.e teaches how patients can help prevent HAI.</w:t>
      </w:r>
    </w:p>
    <w:p>
      <w:pPr>
        <w:pStyle w:val="ListParagraph"/>
        <w:numPr>
          <w:ilvl w:val="0"/>
          <w:numId w:val="1"/>
        </w:numPr>
        <w:spacing w:after="60"/>
      </w:pPr>
      <w:r>
        <w:rPr>
          <w:sz w:val="22"/>
          <w:szCs w:val="22"/>
        </w:rPr>
        <w:t xml:space="preserve">PRE.2.j access to records; IMS owns the file.</w:t>
      </w:r>
    </w:p>
    <w:p>
      <w:pPr>
        <w:pStyle w:val="Heading1"/>
        <w:spacing w:after="120" w:before="280"/>
      </w:pPr>
      <w:r>
        <w:t xml:space="preserve">3. Policy standards</w:t>
      </w:r>
    </w:p>
    <w:p>
      <w:pPr>
        <w:spacing w:after="140"/>
      </w:pPr>
      <w:r>
        <w:rPr>
          <w:sz w:val="22"/>
          <w:szCs w:val="22"/>
        </w:rPr>
        <w:t xml:space="preserve">Preview Hospital educates the patient and/or family in a language and format that they can understand.</w:t>
      </w:r>
    </w:p>
    <w:p>
      <w:pPr>
        <w:spacing w:after="140"/>
      </w:pPr>
      <w:r>
        <w:rPr>
          <w:sz w:val="22"/>
          <w:szCs w:val="22"/>
        </w:rPr>
        <w:t xml:space="preserve">Preview Hospital educates about safe and effective use of medication and potential side effects when appropriate.</w:t>
      </w:r>
    </w:p>
    <w:p>
      <w:pPr>
        <w:spacing w:after="140"/>
      </w:pPr>
      <w:r>
        <w:rPr>
          <w:sz w:val="22"/>
          <w:szCs w:val="22"/>
        </w:rPr>
        <w:t xml:space="preserve">Preview Hospital educates about food-drug interaction and about diet, nutrition and immunisations.</w:t>
      </w:r>
    </w:p>
    <w:p>
      <w:pPr>
        <w:spacing w:after="140"/>
      </w:pPr>
      <w:r>
        <w:rPr>
          <w:sz w:val="22"/>
          <w:szCs w:val="22"/>
        </w:rPr>
        <w:t xml:space="preserve">Preview Hospital educates about the specific disease process, complications and prevention strategies.</w:t>
      </w:r>
    </w:p>
    <w:p>
      <w:pPr>
        <w:spacing w:after="140"/>
      </w:pPr>
      <w:r>
        <w:rPr>
          <w:sz w:val="22"/>
          <w:szCs w:val="22"/>
        </w:rPr>
        <w:t xml:space="preserve">Preview Hospital educates about preventing healthcare-associated infections.</w:t>
      </w:r>
    </w:p>
    <w:p>
      <w:pPr>
        <w:spacing w:after="140"/>
      </w:pPr>
      <w:r>
        <w:rPr>
          <w:sz w:val="22"/>
          <w:szCs w:val="22"/>
        </w:rPr>
        <w:t xml:space="preserve">Preview Hospital communicates with patients and/or families effectively. A leaflet unread, or a monologue without checking understanding, is not effective communication.</w:t>
      </w:r>
    </w:p>
    <w:p>
      <w:pPr>
        <w:pStyle w:val="Heading1"/>
        <w:spacing w:after="120" w:before="280"/>
      </w:pPr>
      <w:r>
        <w:t xml:space="preserve">4. Non-negotiable rules</w:t>
      </w:r>
    </w:p>
    <w:p>
      <w:pPr>
        <w:spacing w:after="140"/>
      </w:pPr>
      <w:r>
        <w:rPr>
          <w:sz w:val="22"/>
          <w:szCs w:val="22"/>
        </w:rPr>
        <w:t xml:space="preserve">The following are prohibited.</w:t>
      </w:r>
    </w:p>
    <w:p>
      <w:pPr>
        <w:spacing w:after="80"/>
      </w:pPr>
      <w:r>
        <w:rPr>
          <w:sz w:val="22"/>
          <w:szCs w:val="22"/>
        </w:rPr>
        <w:t xml:space="preserve">1. Handing education material only in a language or format the patient cannot use.</w:t>
      </w:r>
    </w:p>
    <w:p>
      <w:pPr>
        <w:spacing w:after="80"/>
      </w:pPr>
      <w:r>
        <w:rPr>
          <w:sz w:val="22"/>
          <w:szCs w:val="22"/>
        </w:rPr>
        <w:t xml:space="preserve">2. Starting or changing a medicine without side-effect education when this hospital's method says it is appropriate.</w:t>
      </w:r>
    </w:p>
    <w:p>
      <w:pPr>
        <w:spacing w:after="80"/>
      </w:pPr>
      <w:r>
        <w:rPr>
          <w:sz w:val="22"/>
          <w:szCs w:val="22"/>
        </w:rPr>
        <w:t xml:space="preserve">3. Treating a generic "be healthy" poster as education about this patient's specific disease process.</w:t>
      </w:r>
    </w:p>
    <w:p>
      <w:pPr>
        <w:spacing w:after="80"/>
      </w:pPr>
      <w:r>
        <w:rPr>
          <w:sz w:val="22"/>
          <w:szCs w:val="22"/>
        </w:rPr>
        <w:t xml:space="preserve">4. Counting a harvested signature as proof the patient understood.</w:t>
      </w:r>
    </w:p>
    <w:p>
      <w:pPr>
        <w:spacing w:after="80"/>
      </w:pPr>
      <w:r>
        <w:rPr>
          <w:sz w:val="22"/>
          <w:szCs w:val="22"/>
        </w:rPr>
        <w:t xml:space="preserve">5. Rewriting MOM.6, MOM.7, COP.13, COP.8 or HIC bundles as this education policy.</w:t>
      </w:r>
    </w:p>
    <w:p>
      <w:pPr>
        <w:spacing w:after="140"/>
      </w:pPr>
      <w:r>
        <w:rPr>
          <w:sz w:val="22"/>
          <w:szCs w:val="22"/>
        </w:rPr>
        <w:t xml:space="preserve">Staff report defects to the «Patient Rights Officer» or «Medical Superintendent».</w:t>
      </w:r>
    </w:p>
    <w:p>
      <w:pPr>
        <w:pStyle w:val="Heading1"/>
        <w:spacing w:after="120" w:before="280"/>
      </w:pPr>
      <w:r>
        <w:t xml:space="preserve">5. What we do</w:t>
      </w:r>
    </w:p>
    <w:p>
      <w:pPr>
        <w:pStyle w:val="Heading2"/>
        <w:spacing w:after="100" w:before="220"/>
      </w:pPr>
      <w:r>
        <w:t xml:space="preserve">5.1 Education in a language and format they can understand</w:t>
      </w:r>
    </w:p>
    <w:p>
      <w:pPr>
        <w:spacing w:after="140"/>
      </w:pPr>
      <w:r>
        <w:rPr>
          <w:sz w:val="22"/>
          <w:szCs w:val="22"/>
        </w:rPr>
        <w:t xml:space="preserve">Patient and/or family are educated in a language and format that they can understand.</w:t>
      </w:r>
    </w:p>
    <w:p>
      <w:pPr>
        <w:spacing w:after="140"/>
      </w:pPr>
      <w:r>
        <w:rPr>
          <w:sz w:val="22"/>
          <w:szCs w:val="22"/>
        </w:rPr>
        <w:t xml:space="preserve">Language and format — spoken language, written material, interpreter, accompanying family as translator, and what is done when the patient cannot read — are chosen and recorded in «Hindi and English» or the patient's language. PRE.3.b uses the same language for consent; this step is ongoing education.</w:t>
      </w:r>
    </w:p>
    <w:p>
      <w:pPr>
        <w:pStyle w:val="Heading2"/>
        <w:spacing w:after="100" w:before="220"/>
      </w:pPr>
      <w:r>
        <w:t xml:space="preserve">5.2 Medicines and potential side effects, when appropriate</w:t>
      </w:r>
    </w:p>
    <w:p>
      <w:pPr>
        <w:spacing w:after="140"/>
      </w:pPr>
      <w:r>
        <w:rPr>
          <w:sz w:val="22"/>
          <w:szCs w:val="22"/>
        </w:rPr>
        <w:t xml:space="preserve">Patient and/or family are educated about the safe and effective use of medication and the potential side effects of the medication, when appropriate.</w:t>
      </w:r>
    </w:p>
    <w:p>
      <w:pPr>
        <w:spacing w:after="140"/>
      </w:pPr>
      <w:r>
        <w:rPr>
          <w:sz w:val="22"/>
          <w:szCs w:val="22"/>
        </w:rPr>
        <w:t xml:space="preserve">Education is given at start of a medicine, at a change, or at discharge as this hospital defines — «at start and at any dose change, and again at discharge if the medicine continues». Administration remains MOM.6. Event capture remains MOM.7.</w:t>
      </w:r>
    </w:p>
    <w:p>
      <w:pPr>
        <w:pStyle w:val="Heading2"/>
        <w:spacing w:after="100" w:before="220"/>
      </w:pPr>
      <w:r>
        <w:t xml:space="preserve">5.3 Food-drug interaction, diet, nutrition and immunisations</w:t>
      </w:r>
    </w:p>
    <w:p>
      <w:pPr>
        <w:spacing w:after="140"/>
      </w:pPr>
      <w:r>
        <w:rPr>
          <w:sz w:val="22"/>
          <w:szCs w:val="22"/>
        </w:rPr>
        <w:t xml:space="preserve">Patient and/or family are educated about food-drug interaction and about diet, nutrition and immunisations.</w:t>
      </w:r>
    </w:p>
    <w:p>
      <w:pPr>
        <w:spacing w:after="140"/>
      </w:pPr>
      <w:r>
        <w:rPr>
          <w:sz w:val="22"/>
          <w:szCs w:val="22"/>
        </w:rPr>
        <w:t xml:space="preserve">Teaching for each topic this hospital uses is recorded. Nutritional-risk screen and therapeutic diet remain COP.13. Paediatric immunisation assessment remains COP.8. Unused immunisation as a service is a recorded absence.</w:t>
      </w:r>
    </w:p>
    <w:p>
      <w:pPr>
        <w:pStyle w:val="Heading2"/>
        <w:spacing w:after="100" w:before="220"/>
      </w:pPr>
      <w:r>
        <w:t xml:space="preserve">5.4 Specific disease process, complications and prevention</w:t>
      </w:r>
    </w:p>
    <w:p>
      <w:pPr>
        <w:spacing w:after="140"/>
      </w:pPr>
      <w:r>
        <w:rPr>
          <w:sz w:val="22"/>
          <w:szCs w:val="22"/>
        </w:rPr>
        <w:t xml:space="preserve">Patient and/or family are educated about their specific disease process, complications and prevention strategies.</w:t>
      </w:r>
    </w:p>
    <w:p>
      <w:pPr>
        <w:spacing w:after="140"/>
      </w:pPr>
      <w:r>
        <w:rPr>
          <w:sz w:val="22"/>
          <w:szCs w:val="22"/>
        </w:rPr>
        <w:t xml:space="preserve">Teaching covers the condition this patient has, not only a generic poster. Diagnosis and care plan remain AAC.3.</w:t>
      </w:r>
    </w:p>
    <w:p>
      <w:pPr>
        <w:pStyle w:val="Heading2"/>
        <w:spacing w:after="100" w:before="220"/>
      </w:pPr>
      <w:r>
        <w:t xml:space="preserve">5.5 Preventing healthcare-associated infections</w:t>
      </w:r>
    </w:p>
    <w:p>
      <w:pPr>
        <w:spacing w:after="140"/>
      </w:pPr>
      <w:r>
        <w:rPr>
          <w:sz w:val="22"/>
          <w:szCs w:val="22"/>
        </w:rPr>
        <w:t xml:space="preserve">Patient and/or family are educated about preventing healthcare associated infections.</w:t>
      </w:r>
    </w:p>
    <w:p>
      <w:pPr>
        <w:spacing w:after="140"/>
      </w:pPr>
      <w:r>
        <w:rPr>
          <w:sz w:val="22"/>
          <w:szCs w:val="22"/>
        </w:rPr>
        <w:t xml:space="preserve">Patients and families are told what they can do — hand hygiene, not touching devices, telling staff of fever — as «a short ward talk at admission and a reminder at discharge». Bundles and surveillance remain HIC.</w:t>
      </w:r>
    </w:p>
    <w:p>
      <w:pPr>
        <w:pStyle w:val="Heading2"/>
        <w:spacing w:after="100" w:before="220"/>
      </w:pPr>
      <w:r>
        <w:t xml:space="preserve">5.6 Communication done effectively</w:t>
      </w:r>
    </w:p>
    <w:p>
      <w:pPr>
        <w:spacing w:after="140"/>
      </w:pPr>
      <w:r>
        <w:rPr>
          <w:sz w:val="22"/>
          <w:szCs w:val="22"/>
        </w:rPr>
        <w:t xml:space="preserve">Communication with the patients and/or families is done effectively.</w:t>
      </w:r>
    </w:p>
    <w:p>
      <w:pPr>
        <w:spacing w:after="140"/>
      </w:pPr>
      <w:r>
        <w:rPr>
          <w:sz w:val="22"/>
          <w:szCs w:val="22"/>
        </w:rPr>
        <w:t xml:space="preserve">Understanding is checked — «the patient or family repeats the key point in their own words». If they cannot, staff adapt and record that. Marcus (2014) EDUCATE and Nouri and Rudd (2015) are frameworks, not mandated acronyms on a form. A harvested signature is not a check of understanding.</w:t>
      </w:r>
    </w:p>
    <w:p>
      <w:pPr>
        <w:pStyle w:val="Heading1"/>
        <w:spacing w:after="120" w:before="280"/>
      </w:pPr>
      <w:r>
        <w:t xml:space="preserve">6. Governance and responsibility</w:t>
      </w:r>
    </w:p>
    <w:p>
      <w:pPr>
        <w:spacing w:after="140"/>
      </w:pPr>
      <w:r>
        <w:rPr>
          <w:sz w:val="22"/>
          <w:szCs w:val="22"/>
        </w:rPr>
        <w:t xml:space="preserve">Medical Superintendent — accountable for education and effective communication.</w:t>
      </w:r>
    </w:p>
    <w:p>
      <w:pPr>
        <w:pStyle w:val="ListParagraph"/>
        <w:numPr>
          <w:ilvl w:val="0"/>
          <w:numId w:val="1"/>
        </w:numPr>
        <w:spacing w:after="60"/>
      </w:pPr>
      <w:r>
        <w:rPr>
          <w:sz w:val="22"/>
          <w:szCs w:val="22"/>
        </w:rPr>
        <w:t xml:space="preserve">Patient Rights Officer (or named education lead)</w:t>
      </w:r>
    </w:p>
    <w:p>
      <w:pPr>
        <w:pStyle w:val="ListParagraph"/>
        <w:numPr>
          <w:ilvl w:val="0"/>
          <w:numId w:val="1"/>
        </w:numPr>
        <w:spacing w:after="60"/>
      </w:pPr>
      <w:r>
        <w:rPr>
          <w:sz w:val="22"/>
          <w:szCs w:val="22"/>
        </w:rPr>
        <w:t xml:space="preserve">Holds language-and-format method, topic methods and effective-communication method.</w:t>
      </w:r>
    </w:p>
    <w:p>
      <w:pPr>
        <w:spacing w:after="140"/>
      </w:pPr>
      <w:r>
        <w:rPr>
          <w:sz w:val="22"/>
          <w:szCs w:val="22"/>
        </w:rPr>
        <w:t xml:space="preserve">Doctors and nurses — teach and check understanding.</w:t>
      </w:r>
    </w:p>
    <w:p>
      <w:pPr>
        <w:spacing w:after="140"/>
      </w:pPr>
      <w:r>
        <w:rPr>
          <w:sz w:val="22"/>
          <w:szCs w:val="22"/>
        </w:rPr>
        <w:t xml:space="preserve">Quality Coordinator — audits «quarterly».</w:t>
      </w:r>
    </w:p>
    <w:p>
      <w:pPr>
        <w:pStyle w:val="Heading1"/>
        <w:spacing w:after="120" w:before="280"/>
      </w:pPr>
      <w:r>
        <w:t xml:space="preserve">7. Quality monitoring (RCA → CAPA)</w:t>
      </w:r>
    </w:p>
    <w:p>
      <w:pPr>
        <w:spacing w:after="140"/>
      </w:pPr>
      <w:r>
        <w:rPr>
          <w:sz w:val="22"/>
          <w:szCs w:val="22"/>
        </w:rPr>
        <w:t xml:space="preserve">The Quality Coordinator audits «quarterly» for language and format; medicines when appropriate; food-drug, diet, nutrition and immunisations; disease process; HAI prevention teaching; and evidence communication was effective, not only a leaflet or signature.</w:t>
      </w:r>
    </w:p>
    <w:p>
      <w:pPr>
        <w:spacing w:after="140"/>
      </w:pPr>
      <w:r>
        <w:rPr>
          <w:sz w:val="22"/>
          <w:szCs w:val="22"/>
        </w:rPr>
        <w:t xml:space="preserve">Reviewed «annually» or sooner when AAC.8, MOM or HIC policies change.</w:t>
      </w:r>
    </w:p>
    <w:p>
      <w:pPr>
        <w:pStyle w:val="Heading1"/>
        <w:spacing w:after="120" w:before="280"/>
      </w:pPr>
      <w:r>
        <w:t xml:space="preserve">8. Training and staff acknowledgement</w:t>
      </w:r>
    </w:p>
    <w:p>
      <w:pPr>
        <w:spacing w:after="140"/>
      </w:pPr>
      <w:r>
        <w:rPr>
          <w:sz w:val="22"/>
          <w:szCs w:val="22"/>
        </w:rPr>
        <w:t xml:space="preserve">Clinical staff train at induction and «once a year» on language choice, teach-back, and when to escalate if the family cannot understand.</w:t>
      </w:r>
    </w:p>
    <w:p>
      <w:pPr>
        <w:spacing w:after="140"/>
      </w:pPr>
      <w:r>
        <w:rPr>
          <w:sz w:val="22"/>
          <w:szCs w:val="22"/>
        </w:rPr>
        <w:t xml:space="preserve">Staff acknowledgement — I will check understanding, not only hand a leaflet.</w:t>
      </w:r>
    </w:p>
    <w:p>
      <w:pPr>
        <w:spacing w:after="140"/>
      </w:pPr>
      <w:r>
        <w:rPr>
          <w:sz w:val="22"/>
          <w:szCs w:val="22"/>
        </w:rPr>
        <w:t xml:space="preserve">Name: ___________________________    Designation: ___________________________</w:t>
      </w:r>
    </w:p>
    <w:p>
      <w:pPr>
        <w:spacing w:after="140"/>
      </w:pPr>
      <w:r>
        <w:rPr>
          <w:sz w:val="22"/>
          <w:szCs w:val="22"/>
        </w:rPr>
        <w:t xml:space="preserve">Date: ____________    Signature: ___________________________</w:t>
      </w:r>
    </w:p>
    <w:p>
      <w:pPr>
        <w:spacing w:after="140"/>
      </w:pPr>
      <w:r>
        <w:rPr>
          <w:sz w:val="22"/>
          <w:szCs w:val="22"/>
        </w:rPr>
        <w:t xml:space="preserve">(Patient Rights Officer holds acknowledgements.)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NABH SHCO 3rd Edition — standard PRE.4.</w:t>
      </w:r>
    </w:p>
    <w:p>
      <w:pPr>
        <w:pStyle w:val="ListParagraph"/>
        <w:numPr>
          <w:ilvl w:val="0"/>
          <w:numId w:val="1"/>
        </w:numPr>
        <w:spacing w:after="60"/>
      </w:pPr>
      <w:r>
        <w:rPr>
          <w:sz w:val="22"/>
          <w:szCs w:val="22"/>
        </w:rPr>
        <w:t xml:space="preserve">Badarudeen and Sabharwal (2010) — ch 1; readability framework.</w:t>
      </w:r>
    </w:p>
    <w:p>
      <w:pPr>
        <w:pStyle w:val="ListParagraph"/>
        <w:numPr>
          <w:ilvl w:val="0"/>
          <w:numId w:val="1"/>
        </w:numPr>
        <w:spacing w:after="60"/>
      </w:pPr>
      <w:r>
        <w:rPr>
          <w:sz w:val="22"/>
          <w:szCs w:val="22"/>
        </w:rPr>
        <w:t xml:space="preserve">Marcus C (2014) EDUCATE — ch 11; verbal education framework.</w:t>
      </w:r>
    </w:p>
    <w:p>
      <w:pPr>
        <w:pStyle w:val="ListParagraph"/>
        <w:numPr>
          <w:ilvl w:val="0"/>
          <w:numId w:val="1"/>
        </w:numPr>
        <w:spacing w:after="60"/>
      </w:pPr>
      <w:r>
        <w:rPr>
          <w:sz w:val="22"/>
          <w:szCs w:val="22"/>
        </w:rPr>
        <w:t xml:space="preserve">Nouri SS and Rudd RE (2015) — ch 14; oral health literacy framework.</w:t>
      </w:r>
    </w:p>
    <w:p>
      <w:pPr>
        <w:pStyle w:val="ListParagraph"/>
        <w:numPr>
          <w:ilvl w:val="0"/>
          <w:numId w:val="1"/>
        </w:numPr>
        <w:spacing w:after="60"/>
      </w:pPr>
      <w:r>
        <w:rPr>
          <w:sz w:val="22"/>
          <w:szCs w:val="22"/>
        </w:rPr>
        <w:t xml:space="preserve">Ha JF and Longnecker N (2010) — ch 7; doctor-patient communication framework.</w:t>
      </w:r>
    </w:p>
    <w:p>
      <w:pPr>
        <w:pStyle w:val="ListParagraph"/>
        <w:numPr>
          <w:ilvl w:val="0"/>
          <w:numId w:val="1"/>
        </w:numPr>
        <w:spacing w:after="60"/>
      </w:pPr>
      <w:r>
        <w:rPr>
          <w:sz w:val="22"/>
          <w:szCs w:val="22"/>
        </w:rPr>
        <w:t xml:space="preserve">Internal documents of Preview Hospital: education methods; rights, consent, discharge, medication and infection-prevention policies.</w:t>
      </w:r>
    </w:p>
    <w:p>
      <w:pPr>
        <w:pStyle w:val="Heading1"/>
        <w:spacing w:after="120" w:before="280"/>
      </w:pPr>
      <w:r>
        <w:t xml:space="preserve">10. Distribution</w:t>
      </w:r>
    </w:p>
    <w:p>
      <w:pPr>
        <w:spacing w:after="140"/>
      </w:pPr>
      <w:r>
        <w:rPr>
          <w:sz w:val="22"/>
          <w:szCs w:val="22"/>
        </w:rPr>
        <w:t xml:space="preserve">Master copy: Medical Superintendent, Patient Rights Officer, Quality Coordinator.</w:t>
      </w:r>
    </w:p>
    <w:p>
      <w:pPr>
        <w:spacing w:after="140"/>
      </w:pPr>
      <w:r>
        <w:rPr>
          <w:sz w:val="22"/>
          <w:szCs w:val="22"/>
        </w:rPr>
        <w:t xml:space="preserve">Copies: out-patient, emergency, wards, ICU if exists, nursing administration.</w:t>
      </w:r>
    </w:p>
    <w:p>
      <w:pPr>
        <w:spacing w:after="140"/>
      </w:pPr>
      <w:r>
        <w:rPr>
          <w:sz w:val="22"/>
          <w:szCs w:val="22"/>
        </w:rPr>
        <w:t xml:space="preserve">Available at «front-office policy file» and, if the hospital keeps an intranet, at «staff intranet / policies».</w:t>
      </w:r>
    </w:p>
    <w:p>
      <w:pPr>
        <w:pStyle w:val="Heading1"/>
        <w:spacing w:after="120" w:before="280"/>
      </w:pPr>
      <w:r>
        <w:t xml:space="preserve">11. Abbreviations</w:t>
      </w:r>
    </w:p>
    <w:p>
      <w:pPr>
        <w:spacing w:after="140"/>
      </w:pPr>
      <w:r>
        <w:rPr>
          <w:sz w:val="22"/>
          <w:szCs w:val="22"/>
        </w:rPr>
        <w:t xml:space="preserve">HAI — healthcare-associated infection
NABH — National Accreditation Board for Hospitals and Healthcare Providers
PRE — Patient Rights and Education
SHCO — Standards for Small Healthcare Organisations</w:t>
      </w:r>
    </w:p>
    <w:p>
      <w:pPr>
        <w:pStyle w:val="Heading1"/>
        <w:spacing w:after="120" w:before="280"/>
      </w:pPr>
      <w:r>
        <w:t xml:space="preserve">12. Traceability to NABH SHCO 3rd Edition PRE.4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in a language and format that they can understand.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Language and format; 5.6 Effective communication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(method); doctors and nurses (teach)</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about the safe and effective use of medication and the potential side effects of the medication, when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Medicines and side effects;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Staff who start or change medicines; MOM.6/MOM.7 (administration and events)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about food-drug interaction and about diet, nutrition and immunisations.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Food-drug, diet, nutrition and immunisations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Staff who teach; COP.13/COP.8/HIC.3 (clinical and kitchen acts)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about their specific disease process, complications and prevention strategies.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Disease process, complications and prevention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clinicians; AAC.3 (care plan)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and/or family are educated about preventing healthcare associated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Preventing healthcare-associated infections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Ward nurses and doctors; HIC (IPC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PRE.4.f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Communication with the patients and/or families is done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Communication done effectively; Sections 5.1–5.5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(method); all staff who teach</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PRE.4.a — Patient and/or family are educated in a language and format that they can understand.</w:t>
      </w:r>
    </w:p>
    <w:p>
      <w:pPr>
        <w:pStyle w:val="ListParagraph"/>
        <w:numPr>
          <w:ilvl w:val="0"/>
          <w:numId w:val="1"/>
        </w:numPr>
        <w:spacing w:after="60"/>
      </w:pPr>
      <w:r>
        <w:rPr>
          <w:sz w:val="22"/>
          <w:szCs w:val="22"/>
        </w:rPr>
        <w:t xml:space="preserve">Written language-and-format method including illiteracy and interpreter use.</w:t>
      </w:r>
    </w:p>
    <w:p>
      <w:pPr>
        <w:pStyle w:val="ListParagraph"/>
        <w:numPr>
          <w:ilvl w:val="0"/>
          <w:numId w:val="1"/>
        </w:numPr>
        <w:spacing w:after="60"/>
      </w:pPr>
      <w:r>
        <w:rPr>
          <w:sz w:val="22"/>
          <w:szCs w:val="22"/>
        </w:rPr>
        <w:t xml:space="preserve">Sample teaching records in the language used.</w:t>
      </w:r>
    </w:p>
    <w:p>
      <w:pPr>
        <w:pStyle w:val="ListParagraph"/>
        <w:numPr>
          <w:ilvl w:val="0"/>
          <w:numId w:val="1"/>
        </w:numPr>
        <w:spacing w:after="60"/>
      </w:pPr>
      <w:r>
        <w:rPr>
          <w:sz w:val="22"/>
          <w:szCs w:val="22"/>
        </w:rPr>
        <w:t xml:space="preserve">Recorded split that PRE.3.b is the consent conversation.</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PRE.4.b — Patient and/or family are educated about the safe and effective use of medication and the potential side effects of the medication, when appropriate.</w:t>
      </w:r>
    </w:p>
    <w:p>
      <w:pPr>
        <w:pStyle w:val="ListParagraph"/>
        <w:numPr>
          <w:ilvl w:val="0"/>
          <w:numId w:val="1"/>
        </w:numPr>
        <w:spacing w:after="60"/>
      </w:pPr>
      <w:r>
        <w:rPr>
          <w:sz w:val="22"/>
          <w:szCs w:val="22"/>
        </w:rPr>
        <w:t xml:space="preserve">Written method for medication and side-effect education including when appropriate.</w:t>
      </w:r>
    </w:p>
    <w:p>
      <w:pPr>
        <w:pStyle w:val="ListParagraph"/>
        <w:numPr>
          <w:ilvl w:val="0"/>
          <w:numId w:val="1"/>
        </w:numPr>
        <w:spacing w:after="60"/>
      </w:pPr>
      <w:r>
        <w:rPr>
          <w:sz w:val="22"/>
          <w:szCs w:val="22"/>
        </w:rPr>
        <w:t xml:space="preserve">Sample teaching records at start, change or discharge.</w:t>
      </w:r>
    </w:p>
    <w:p>
      <w:pPr>
        <w:pStyle w:val="ListParagraph"/>
        <w:numPr>
          <w:ilvl w:val="0"/>
          <w:numId w:val="1"/>
        </w:numPr>
        <w:spacing w:after="60"/>
      </w:pPr>
      <w:r>
        <w:rPr>
          <w:sz w:val="22"/>
          <w:szCs w:val="22"/>
        </w:rPr>
        <w:t xml:space="preserve">Recorded split that MOM.7 still captures NM/ME/ADR.</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PRE.4.c — Patient and/or family are educated about food-drug interaction and about diet, nutrition and immunisations.</w:t>
      </w:r>
    </w:p>
    <w:p>
      <w:pPr>
        <w:pStyle w:val="ListParagraph"/>
        <w:numPr>
          <w:ilvl w:val="0"/>
          <w:numId w:val="1"/>
        </w:numPr>
        <w:spacing w:after="60"/>
      </w:pPr>
      <w:r>
        <w:rPr>
          <w:sz w:val="22"/>
          <w:szCs w:val="22"/>
        </w:rPr>
        <w:t xml:space="preserve">Written method for food-drug, diet, nutrition and immunisation education.</w:t>
      </w:r>
    </w:p>
    <w:p>
      <w:pPr>
        <w:pStyle w:val="ListParagraph"/>
        <w:numPr>
          <w:ilvl w:val="0"/>
          <w:numId w:val="1"/>
        </w:numPr>
        <w:spacing w:after="60"/>
      </w:pPr>
      <w:r>
        <w:rPr>
          <w:sz w:val="22"/>
          <w:szCs w:val="22"/>
        </w:rPr>
        <w:t xml:space="preserve">Recorded absence for topics not provided.</w:t>
      </w:r>
    </w:p>
    <w:p>
      <w:pPr>
        <w:pStyle w:val="ListParagraph"/>
        <w:numPr>
          <w:ilvl w:val="0"/>
          <w:numId w:val="1"/>
        </w:numPr>
        <w:spacing w:after="60"/>
      </w:pPr>
      <w:r>
        <w:rPr>
          <w:sz w:val="22"/>
          <w:szCs w:val="22"/>
        </w:rPr>
        <w:t xml:space="preserve">Sample teaching records.</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PRE.4.d — Patient and/or family are educated about their specific disease process, complications and prevention strategies.</w:t>
      </w:r>
    </w:p>
    <w:p>
      <w:pPr>
        <w:pStyle w:val="ListParagraph"/>
        <w:numPr>
          <w:ilvl w:val="0"/>
          <w:numId w:val="1"/>
        </w:numPr>
        <w:spacing w:after="60"/>
      </w:pPr>
      <w:r>
        <w:rPr>
          <w:sz w:val="22"/>
          <w:szCs w:val="22"/>
        </w:rPr>
        <w:t xml:space="preserve">Written method for disease-process education specific to the patient's condition.</w:t>
      </w:r>
    </w:p>
    <w:p>
      <w:pPr>
        <w:pStyle w:val="ListParagraph"/>
        <w:numPr>
          <w:ilvl w:val="0"/>
          <w:numId w:val="1"/>
        </w:numPr>
        <w:spacing w:after="60"/>
      </w:pPr>
      <w:r>
        <w:rPr>
          <w:sz w:val="22"/>
          <w:szCs w:val="22"/>
        </w:rPr>
        <w:t xml:space="preserve">Sample records — not a generic poster counted as teaching.</w:t>
      </w:r>
    </w:p>
    <w:p>
      <w:pPr>
        <w:pStyle w:val="ListParagraph"/>
        <w:numPr>
          <w:ilvl w:val="0"/>
          <w:numId w:val="1"/>
        </w:numPr>
        <w:spacing w:after="60"/>
      </w:pPr>
      <w:r>
        <w:rPr>
          <w:sz w:val="22"/>
          <w:szCs w:val="22"/>
        </w:rPr>
        <w:t xml:space="preserve">Quarterly audit sample.</w:t>
      </w:r>
    </w:p>
    <w:p>
      <w:pPr>
        <w:pStyle w:val="ListParagraph"/>
        <w:numPr>
          <w:ilvl w:val="0"/>
          <w:numId w:val="1"/>
        </w:numPr>
        <w:spacing w:after="60"/>
      </w:pPr>
      <w:r>
        <w:rPr>
          <w:sz w:val="22"/>
          <w:szCs w:val="22"/>
        </w:rPr>
        <w:t xml:space="preserve">Review when AAC.3 is revised.</w:t>
      </w:r>
    </w:p>
    <w:p>
      <w:pPr>
        <w:pStyle w:val="Heading2"/>
        <w:spacing w:after="100" w:before="220"/>
      </w:pPr>
      <w:r>
        <w:t xml:space="preserve">PRE.4.e — Patient and/or family are educated about preventing healthcare associated infections.</w:t>
      </w:r>
    </w:p>
    <w:p>
      <w:pPr>
        <w:pStyle w:val="ListParagraph"/>
        <w:numPr>
          <w:ilvl w:val="0"/>
          <w:numId w:val="1"/>
        </w:numPr>
        <w:spacing w:after="60"/>
      </w:pPr>
      <w:r>
        <w:rPr>
          <w:sz w:val="22"/>
          <w:szCs w:val="22"/>
        </w:rPr>
        <w:t xml:space="preserve">Written method for patient/family HAI-prevention teaching.</w:t>
      </w:r>
    </w:p>
    <w:p>
      <w:pPr>
        <w:pStyle w:val="ListParagraph"/>
        <w:numPr>
          <w:ilvl w:val="0"/>
          <w:numId w:val="1"/>
        </w:numPr>
        <w:spacing w:after="60"/>
      </w:pPr>
      <w:r>
        <w:rPr>
          <w:sz w:val="22"/>
          <w:szCs w:val="22"/>
        </w:rPr>
        <w:t xml:space="preserve">Sample admission and discharge teaching records.</w:t>
      </w:r>
    </w:p>
    <w:p>
      <w:pPr>
        <w:pStyle w:val="ListParagraph"/>
        <w:numPr>
          <w:ilvl w:val="0"/>
          <w:numId w:val="1"/>
        </w:numPr>
        <w:spacing w:after="60"/>
      </w:pPr>
      <w:r>
        <w:rPr>
          <w:sz w:val="22"/>
          <w:szCs w:val="22"/>
        </w:rPr>
        <w:t xml:space="preserve">Recorded split that HIC owns bundles and surveillance.</w:t>
      </w:r>
    </w:p>
    <w:p>
      <w:pPr>
        <w:pStyle w:val="ListParagraph"/>
        <w:numPr>
          <w:ilvl w:val="0"/>
          <w:numId w:val="1"/>
        </w:numPr>
        <w:spacing w:after="60"/>
      </w:pPr>
      <w:r>
        <w:rPr>
          <w:sz w:val="22"/>
          <w:szCs w:val="22"/>
        </w:rPr>
        <w:t xml:space="preserve">Quarterly audit sample.</w:t>
      </w:r>
    </w:p>
    <w:p>
      <w:pPr>
        <w:pStyle w:val="Heading2"/>
        <w:spacing w:after="100" w:before="220"/>
      </w:pPr>
      <w:r>
        <w:t xml:space="preserve">PRE.4.f — Communication with the patients and/or families is done effectively.</w:t>
      </w:r>
    </w:p>
    <w:p>
      <w:pPr>
        <w:pStyle w:val="ListParagraph"/>
        <w:numPr>
          <w:ilvl w:val="0"/>
          <w:numId w:val="1"/>
        </w:numPr>
        <w:spacing w:after="60"/>
      </w:pPr>
      <w:r>
        <w:rPr>
          <w:sz w:val="22"/>
          <w:szCs w:val="22"/>
        </w:rPr>
        <w:t xml:space="preserve">Written effective-communication method with teach-back and adaptation when not understood.</w:t>
      </w:r>
    </w:p>
    <w:p>
      <w:pPr>
        <w:pStyle w:val="ListParagraph"/>
        <w:numPr>
          <w:ilvl w:val="0"/>
          <w:numId w:val="1"/>
        </w:numPr>
        <w:spacing w:after="60"/>
      </w:pPr>
      <w:r>
        <w:rPr>
          <w:sz w:val="22"/>
          <w:szCs w:val="22"/>
        </w:rPr>
        <w:t xml:space="preserve">Sample encounters recording understanding check, not only signature.</w:t>
      </w:r>
    </w:p>
    <w:p>
      <w:pPr>
        <w:pStyle w:val="ListParagraph"/>
        <w:numPr>
          <w:ilvl w:val="0"/>
          <w:numId w:val="1"/>
        </w:numPr>
        <w:spacing w:after="60"/>
      </w:pPr>
      <w:r>
        <w:rPr>
          <w:sz w:val="22"/>
          <w:szCs w:val="22"/>
        </w:rPr>
        <w:t xml:space="preserve">Framework use of Marcus 2014, Ha and Longnecker 2010, Nouri and Rudd 2015 — not pasted protocols.</w:t>
      </w:r>
    </w:p>
    <w:p>
      <w:pPr>
        <w:pStyle w:val="ListParagraph"/>
        <w:numPr>
          <w:ilvl w:val="0"/>
          <w:numId w:val="1"/>
        </w:numPr>
        <w:spacing w:after="60"/>
      </w:pPr>
      <w:r>
        <w:rPr>
          <w:sz w:val="22"/>
          <w:szCs w:val="22"/>
        </w:rPr>
        <w:t xml:space="preserve">Quarterly audit sample of communication that worked.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«PRE/POL/04»  |  Controlled document  |  Information, Education and Communication about Healthcare Needs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2026-08-19T07:21:33.045Z</dcterms:created>
  <dcterms:modified xsi:type="dcterms:W3CDTF">2026-08-19T07:21:33.046Z</dcterms:modified>
</cp:coreProperties>
</file>

<file path=docProps/custom.xml><?xml version="1.0" encoding="utf-8"?>
<Properties xmlns="http://schemas.openxmlformats.org/officeDocument/2006/custom-properties" xmlns:vt="http://schemas.openxmlformats.org/officeDocument/2006/docPropsVTypes"/>
</file>