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Infection Prevention and Control in Clinical Areas</w:t>
      </w:r>
    </w:p>
    <w:p>
      <w:pPr>
        <w:spacing w:after="240"/>
        <w:jc w:val="center"/>
      </w:pPr>
      <w:r>
        <w:rPr>
          <w:i/>
          <w:iCs/>
          <w:sz w:val="20"/>
          <w:szCs w:val="20"/>
        </w:rPr>
        <w:t xml:space="preserve">HCO Full Accreditation, 6th Edition — IPC.3.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the infection prevention and control processes in clinical areas.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IPC.3: The organisation implements the infection prevention and control processes in clinical areas.</w:t>
      </w:r>
    </w:p>
    <w:p>
      <w:pPr>
        <w:spacing w:after="140"/>
      </w:pPr>
      <w:r>
        <w:rPr>
          <w:sz w:val="22"/>
          <w:szCs w:val="22"/>
        </w:rPr>
        <w:t xml:space="preserve">It covers objective elements IPC.3.a–f (6 elements).</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owns IPC.3. Related AAC, COP, MOM and PRE duties stay with those policies — cross-reference only.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Preview Hospital, including the «Infection Prevention and Control Officer», the Infection Prevention and Control Officer and Nurse, treating doctors, nursing, CSSD, Occupational Health and the Quality Coordinator.</w:t>
      </w:r>
    </w:p>
    <w:p>
      <w:pPr>
        <w:spacing w:after="140"/>
      </w:pPr>
      <w:r>
        <w:rPr>
          <w:sz w:val="22"/>
          <w:szCs w:val="22"/>
        </w:rPr>
        <w:t xml:space="preserve">It covers 6 objective elements (IPC.3.a, IPC.3.b, IPC.3.c, IPC.3.d, IPC.3.e, IPC.3.f).</w:t>
      </w:r>
    </w:p>
    <w:p>
      <w:pPr>
        <w:spacing w:after="140"/>
      </w:pPr>
      <w:r>
        <w:rPr>
          <w:sz w:val="22"/>
          <w:szCs w:val="22"/>
        </w:rPr>
        <w:t xml:space="preserve">Boundaries: do not copy SHCO equivalent-chapter wording. Do not overwrite HCO AAC, COP, MOM or PRE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IPC.3 so that the organisation implements the infection prevention and control processes in clinical areas.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adheres to standard precautions at all times.</w:t>
      </w:r>
    </w:p>
    <w:p>
      <w:pPr>
        <w:spacing w:after="80"/>
      </w:pPr>
      <w:r>
        <w:rPr>
          <w:sz w:val="22"/>
          <w:szCs w:val="22"/>
        </w:rPr>
        <w:t xml:space="preserve">2. Do not skip: The organisation adheres to hand-hygiene guidelines.</w:t>
      </w:r>
    </w:p>
    <w:p>
      <w:pPr>
        <w:spacing w:after="80"/>
      </w:pPr>
      <w:r>
        <w:rPr>
          <w:sz w:val="22"/>
          <w:szCs w:val="22"/>
        </w:rPr>
        <w:t xml:space="preserve">3. Do not skip: The organisation adheres to transmission-based precautions.</w:t>
      </w:r>
    </w:p>
    <w:p>
      <w:pPr>
        <w:spacing w:after="80"/>
      </w:pPr>
      <w:r>
        <w:rPr>
          <w:sz w:val="22"/>
          <w:szCs w:val="22"/>
        </w:rPr>
        <w:t xml:space="preserve">4. Do not skip: The organisation adheres to safe injection and infusion practices.</w:t>
      </w:r>
    </w:p>
    <w:p>
      <w:pPr>
        <w:spacing w:after="80"/>
      </w:pPr>
      <w:r>
        <w:rPr>
          <w:sz w:val="22"/>
          <w:szCs w:val="22"/>
        </w:rPr>
        <w:t xml:space="preserve">5. Do not skip: Appropriate antimicrobial usage policy is established and documented</w:t>
      </w:r>
    </w:p>
    <w:p>
      <w:pPr>
        <w:spacing w:after="80"/>
      </w:pPr>
      <w:r>
        <w:rPr>
          <w:sz w:val="22"/>
          <w:szCs w:val="22"/>
        </w:rPr>
        <w:t xml:space="preserve">6. Do not skip: The organisation implements the antimicrobial stewardship programme and monitors the use of antimicrobial a...</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an IPC.3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organisation adheres to standard precautions at all times</w:t>
      </w:r>
    </w:p>
    <w:p>
      <w:pPr>
        <w:spacing w:after="140"/>
      </w:pPr>
      <w:r>
        <w:rPr>
          <w:sz w:val="22"/>
          <w:szCs w:val="22"/>
        </w:rPr>
        <w:t xml:space="preserve">Staff apply standard precautions at all times, in every area: hand hygiene, PPE based on risk, respiratory hygiene, sharps safety, safe linen and environmental cleaning, and patient-care equipment handling.</w:t>
      </w:r>
    </w:p>
    <w:p>
      <w:pPr>
        <w:spacing w:after="140"/>
      </w:pPr>
      <w:r>
        <w:rPr>
          <w:sz w:val="22"/>
          <w:szCs w:val="22"/>
        </w:rPr>
        <w:t xml:space="preserve">The «Infection Prevention and Control Nurse» audits practice «monthly». Starting a procedure without standard precautions is a stop-work trigger (section 6).</w:t>
      </w:r>
    </w:p>
    <w:p>
      <w:pPr>
        <w:spacing w:after="140"/>
      </w:pPr>
      <w:r>
        <w:rPr>
          <w:sz w:val="22"/>
          <w:szCs w:val="22"/>
        </w:rPr>
        <w:t xml:space="preserve">Method note (from guidebook interpretation): Adherence to standard precautions is one of the fundamental tenets of infection prevention and control. In every area of the organisation, standard precautions shall be adhered. Refer to the glossary for “standard precautions”. The components of standard precautions include hand hygiene, appropriate use of personal protective equipment, respiratory etiquettes, safe injection practices, sterile instruments and devices, clean and dis-infected environmental surfaces cleaning and disinfection of equipment, and needle-stick and sharps injury prevention. Appropriate preparation of body parts before a procedure and the use of disinfected/sterilised instruments is ensured. Theorganisation adheres to hand-hygiene guidelines.</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organisation adheres to hand-hygiene guidelines</w:t>
      </w:r>
    </w:p>
    <w:p>
      <w:pPr>
        <w:spacing w:after="140"/>
      </w:pPr>
      <w:r>
        <w:rPr>
          <w:sz w:val="22"/>
          <w:szCs w:val="22"/>
        </w:rPr>
        <w:t xml:space="preserve">Preview Hospital adheres to national/international hand-hygiene guidelines (WHO 5 Moments is the default reference). Moments, technique and product are taught at induction and «annually».</w:t>
      </w:r>
    </w:p>
    <w:p>
      <w:pPr>
        <w:spacing w:after="140"/>
      </w:pPr>
      <w:r>
        <w:rPr>
          <w:sz w:val="22"/>
          <w:szCs w:val="22"/>
        </w:rPr>
        <w:t xml:space="preserve">Compliance is measured under IPC.6.d. Skipping a required moment before an invasive step is a stop-work trigger (section 6).</w:t>
      </w:r>
    </w:p>
    <w:p>
      <w:pPr>
        <w:spacing w:after="140"/>
      </w:pPr>
      <w:r>
        <w:rPr>
          <w:sz w:val="22"/>
          <w:szCs w:val="22"/>
        </w:rPr>
        <w:t xml:space="preserve">Method note (from guidebook interpretation): The organisation shall adhere to international/national guidelines on hand hygiene. A good reference is the WHO guidelines on hand hygiene in health care of 2009. The organisation could display the necessary instructions near every hand- washing area. Theorganisation adheres to transmission-based precautions.</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adheres to transmission-based precautions</w:t>
      </w:r>
    </w:p>
    <w:p>
      <w:pPr>
        <w:spacing w:after="140"/>
      </w:pPr>
      <w:r>
        <w:rPr>
          <w:sz w:val="22"/>
          <w:szCs w:val="22"/>
        </w:rPr>
        <w:t xml:space="preserve">Transmission-based precautions — contact, droplet, airborne — are applied when the organism or syndrome requires them. The PPE and room placement for each mode are in the manual.</w:t>
      </w:r>
    </w:p>
    <w:p>
      <w:pPr>
        <w:spacing w:after="140"/>
      </w:pPr>
      <w:r>
        <w:rPr>
          <w:sz w:val="22"/>
          <w:szCs w:val="22"/>
        </w:rPr>
        <w:t xml:space="preserve">The «treating doctor» orders the precaution; nursing implements and signs the door/kardex alert. An airborne case without the defined placement/PPE is escalated the same shift.</w:t>
      </w:r>
    </w:p>
    <w:p>
      <w:pPr>
        <w:spacing w:after="140"/>
      </w:pPr>
      <w:r>
        <w:rPr>
          <w:sz w:val="22"/>
          <w:szCs w:val="22"/>
        </w:rPr>
        <w:t xml:space="preserve">Method note (from guidebook interpretation): This shall cover airborne, droplet and contact modes of transmission. Personal protective equipment (PPE) to be used in various situations of patient care are identified and used appropriately. This shall be applicable across the organisation. Refer to international guidelines like that of CDC. HE cone = BB J = J 6.</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5.4 The organisation adheres to safe injection and infusion practices</w:t>
      </w:r>
    </w:p>
    <w:p>
      <w:pPr>
        <w:spacing w:after="140"/>
      </w:pPr>
      <w:r>
        <w:rPr>
          <w:sz w:val="22"/>
          <w:szCs w:val="22"/>
        </w:rPr>
        <w:t xml:space="preserve">Safe injection and infusion practice follows one needle, one syringe, only one time (CDC / WHO). Multi-dose vials follow the organisation's written rule. Sharps go in a puncture-proof container at the point of use.</w:t>
      </w:r>
    </w:p>
    <w:p>
      <w:pPr>
        <w:spacing w:after="140"/>
      </w:pPr>
      <w:r>
        <w:rPr>
          <w:sz w:val="22"/>
          <w:szCs w:val="22"/>
        </w:rPr>
        <w:t xml:space="preserve">Reuse of a needle or syringe is a stop-work trigger (section 6). Pharmacy and nursing check infusion preparation areas «quarterly».</w:t>
      </w:r>
    </w:p>
    <w:p>
      <w:pPr>
        <w:spacing w:after="140"/>
      </w:pPr>
      <w:r>
        <w:rPr>
          <w:sz w:val="22"/>
          <w:szCs w:val="22"/>
        </w:rPr>
        <w:t xml:space="preserve">Method note (from guidebook interpretation): This shall include “One needle, One syringe, Only one time” as recommended by CDC. A good reference guide is “WHO best practices for injections and related procedures toolkit”.</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5.5 Appropriate antimicrobial usage policy is established and documented</w:t>
      </w:r>
    </w:p>
    <w:p>
      <w:pPr>
        <w:spacing w:after="140"/>
      </w:pPr>
      <w:r>
        <w:rPr>
          <w:sz w:val="22"/>
          <w:szCs w:val="22"/>
        </w:rPr>
        <w:t xml:space="preserve">An antimicrobial usage policy is established and documented: which agents for which conditions, monotherapy vs combination, escalation/de-escalation, dose and duration, and a restricted list aligned with WHO AWaRe as the «Infection Prevention and Control Committee» adopts it.</w:t>
      </w:r>
    </w:p>
    <w:p>
      <w:pPr>
        <w:spacing w:after="140"/>
      </w:pPr>
      <w:r>
        <w:rPr>
          <w:sz w:val="22"/>
          <w:szCs w:val="22"/>
        </w:rPr>
        <w:t xml:space="preserve">The policy is reviewed «annually» with local susceptibility. The «Microbiologist and the Drug and Therapeutics Committee» own the clinical content with the «Infection Prevention and Control Officer».</w:t>
      </w:r>
    </w:p>
    <w:p>
      <w:pPr>
        <w:spacing w:after="140"/>
      </w:pPr>
      <w:r>
        <w:rPr>
          <w:sz w:val="22"/>
          <w:szCs w:val="22"/>
        </w:rPr>
        <w:t xml:space="preserve">Method note (from guidebook interpretation): The organisation shall identify clinical conditions in which antimicrobial agents [antimicrobial (including anti-tubercular agents), anti-fungal agents, anti-viral agents and anti-parasitic agents] shall be used in terms of the type of the antimicrobial agent, monotherapy vs combination therapy, escalation and de-escalation of therapy, dose and duration of antimicrobial therapy. The organisation shall develop a system of monitoring site specific antibiograms/ antimicrobial susceptibility (based on culture sensitivity) and accordingly develop its antimicrobial usage policy, which shall be reviewed at periodic intervals (at least every year) for its continuing applicability. A good reference guide to develop antimicrobial policy is step-by-step approach for development and implementation of hospital antimicrobial policy and standard treatment guidelines by WHO-2011. Ministry of Health’s National Treatment Guidelines for Antimicrobial Use in Infectious Diseases, Indian Council of Medical Research’s Treatment Guidelines for Antimicrobial Use in Common Syndromes shall be considered while framing the antimicrobial usage policy. The organisation can also refer to national and international guidelines from professional societies while framing the policy. It is preferable that the organisation has a standardised methodology for antimicrobial susceptibility testing. The antimicrobial usage policy shall identify a list of restricted antimicrobial agent it also considers introducing audit and formulary restrictions. The list of antibiotics among the restricted antimicrobials shall adhere to WHO's AWaRe classification.</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5.6 The organisation implements the antimicrobial stewardship programme a...</w:t>
      </w:r>
    </w:p>
    <w:p>
      <w:pPr>
        <w:spacing w:after="140"/>
      </w:pPr>
      <w:r>
        <w:rPr>
          <w:sz w:val="22"/>
          <w:szCs w:val="22"/>
        </w:rPr>
        <w:t xml:space="preserve">The antimicrobial stewardship programme is implemented: restricted agents are ordered through the defined path; deviations are fed back to the clinician; use is monitored (days of therapy / restricted-agent audit) and reported to the «Infection Prevention and Control Committee».</w:t>
      </w:r>
    </w:p>
    <w:p>
      <w:pPr>
        <w:spacing w:after="140"/>
      </w:pPr>
      <w:r>
        <w:rPr>
          <w:sz w:val="22"/>
          <w:szCs w:val="22"/>
        </w:rPr>
        <w:t xml:space="preserve">Starting a restricted agent off-path is a stop-work trigger (section 6) except documented emergency first doses, which are regularised within «24 hours».</w:t>
      </w:r>
    </w:p>
    <w:p>
      <w:pPr>
        <w:spacing w:after="140"/>
      </w:pPr>
      <w:r>
        <w:rPr>
          <w:sz w:val="22"/>
          <w:szCs w:val="22"/>
        </w:rPr>
        <w:t xml:space="preserve">Method note (from guidebook interpretation): The antimicrobial agents shall be prescribed as per the organisation’s policy. The organisation needs to implement a mechanism for ordering restricted antimicrobial agents. Deviations are brought to the notice of concerned clinicians, and corrective and preventive actions are taken and documented. The organisation shall have a mechanism to monitor the appropriate use of restricted antimicrobial agents. Antimicrobial stewardship programme shall be monitored by antimicrobial stewardship forum consisting of clinicans. The antimicrobial stewardship programme must aim to guide efforts to improve appropriate and necessary antimicrobial use. It shall include leadership , accountability, drug expertise, action, tracking, reporting and education. The organisation generate awareness amongst health care providers and community for AMR 2017-2021, and rational use of antimicrobials.</w:t>
      </w:r>
    </w:p>
    <w:p>
      <w:pPr>
        <w:spacing w:after="140"/>
      </w:pPr>
      <w:r>
        <w:rPr>
          <w:sz w:val="22"/>
          <w:szCs w:val="22"/>
        </w:rPr>
        <w:t xml:space="preserve">This is a CORE objective element — non-compliance is not acceptable for accreditation.</w:t>
      </w:r>
    </w:p>
    <w:p>
      <w:pPr>
        <w:pStyle w:val="Heading1"/>
        <w:spacing w:after="120" w:before="280"/>
      </w:pPr>
      <w:r>
        <w:t xml:space="preserve">6. Stop-work authority</w:t>
      </w:r>
    </w:p>
    <w:p>
      <w:pPr>
        <w:spacing w:after="140"/>
      </w:pPr>
      <w:r>
        <w:rPr>
          <w:sz w:val="22"/>
          <w:szCs w:val="22"/>
        </w:rPr>
        <w:t xml:space="preserve">Do not start a clinical procedure when standard precautions are not in place (PPE, sharps safety, cough etiquette as the situation requires), when hand hygiene has not been done at the required moment, or when injection/infusion practice would reuse a needle or syringe.</w:t>
      </w:r>
    </w:p>
    <w:p>
      <w:pPr>
        <w:spacing w:after="140"/>
      </w:pPr>
      <w:r>
        <w:rPr>
          <w:sz w:val="22"/>
          <w:szCs w:val="22"/>
        </w:rPr>
        <w:t xml:space="preserve">Do not start a restricted antimicrobial without the organisation's antimicrobial-stewardship path (documented indication and, where required, approval).</w:t>
      </w:r>
    </w:p>
    <w:p>
      <w:pPr>
        <w:spacing w:after="140"/>
      </w:pPr>
      <w:r>
        <w:rPr>
          <w:sz w:val="22"/>
          <w:szCs w:val="22"/>
        </w:rPr>
        <w:t xml:space="preserve">Stop-work applies to the procedure or first dose start. Immediate life-saving care continues with the best available precautions and is documented.</w:t>
      </w:r>
    </w:p>
    <w:p>
      <w:pPr>
        <w:spacing w:after="140"/>
      </w:pPr>
      <w:r>
        <w:rPr>
          <w:sz w:val="22"/>
          <w:szCs w:val="22"/>
        </w:rPr>
        <w:t xml:space="preserve">The person who stops tells the «treating doctor» and the «Infection Prevention and Control Officer» the same shift. Refusing an unsafe start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IPC.3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pStyle w:val="ListParagraph"/>
        <w:numPr>
          <w:ilvl w:val="0"/>
          <w:numId w:val="1"/>
        </w:numPr>
        <w:spacing w:after="60"/>
      </w:pPr>
      <w:r>
        <w:rPr>
          <w:sz w:val="22"/>
          <w:szCs w:val="22"/>
        </w:rPr>
        <w:t xml:space="preserve">Infection Prevention and Control Officer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pStyle w:val="ListParagraph"/>
        <w:numPr>
          <w:ilvl w:val="0"/>
          <w:numId w:val="1"/>
        </w:numPr>
        <w:spacing w:after="60"/>
      </w:pPr>
      <w:r>
        <w:rPr>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IPC.3.a–f.</w:t>
      </w:r>
    </w:p>
    <w:p>
      <w:pPr>
        <w:pStyle w:val="ListParagraph"/>
        <w:numPr>
          <w:ilvl w:val="0"/>
          <w:numId w:val="1"/>
        </w:numPr>
        <w:spacing w:after="60"/>
      </w:pPr>
      <w:r>
        <w:rPr>
          <w:sz w:val="22"/>
          <w:szCs w:val="22"/>
        </w:rPr>
        <w:t xml:space="preserve">Asterisked elements (abcde) have document evidence as required.</w:t>
      </w:r>
    </w:p>
    <w:p>
      <w:pPr>
        <w:pStyle w:val="ListParagraph"/>
        <w:numPr>
          <w:ilvl w:val="0"/>
          <w:numId w:val="1"/>
        </w:numPr>
        <w:spacing w:after="60"/>
      </w:pPr>
      <w:r>
        <w:rPr>
          <w:sz w:val="22"/>
          <w:szCs w:val="22"/>
        </w:rPr>
        <w:t xml:space="preserve">CORE elements (abdf)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Infection Prevention and Control in Clinical Areas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IPC.3.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IPC.3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Preview Hospital: Infection Prevention and Control Manual, antimicrobial policy, BMW and housekeeping procedures, CSSD sterilisation records, occupational-health and PEP guidance named for IPC.3.</w:t>
      </w:r>
    </w:p>
    <w:p>
      <w:pPr>
        <w:pStyle w:val="Heading1"/>
        <w:spacing w:after="120" w:before="280"/>
      </w:pPr>
      <w:r>
        <w:t xml:space="preserve">11. Distribution</w:t>
      </w:r>
    </w:p>
    <w:p>
      <w:pPr>
        <w:spacing w:after="140"/>
      </w:pPr>
      <w:r>
        <w:rPr>
          <w:sz w:val="22"/>
          <w:szCs w:val="22"/>
        </w:rPr>
        <w:t xml:space="preserve">Medical Superintendent; Infection Prevention and Control Officer; Infection Prevention and Control Nurse; Nursing Superintendent; CSSD In-Charge; Occupational Health Physician; Quality Coordinator; department clinical and support staff covered by IPC.3</w:t>
      </w:r>
    </w:p>
    <w:p>
      <w:pPr>
        <w:pStyle w:val="Heading1"/>
        <w:spacing w:after="120" w:before="280"/>
      </w:pPr>
      <w:r>
        <w:t xml:space="preserve">12.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13. Traceability to NABH HCO Full Accreditation 6th Edition IPC.3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standard precautions at all times.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hand-hygiene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transmission-based precautions.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safe injection and infusion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antimicrobial usage policy is established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the antimicrobial stewardship programme and monitors the use of antimicrobial agents.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IPC.3.a — The organisation adheres to standard precautions at all times.</w:t>
      </w:r>
    </w:p>
    <w:p>
      <w:pPr>
        <w:pStyle w:val="ListParagraph"/>
        <w:numPr>
          <w:ilvl w:val="0"/>
          <w:numId w:val="1"/>
        </w:numPr>
        <w:spacing w:after="60"/>
      </w:pPr>
      <w:r>
        <w:rPr>
          <w:sz w:val="22"/>
          <w:szCs w:val="22"/>
        </w:rPr>
        <w:t xml:space="preserve">Records showing IPC.3.a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IPC.3.a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IPC.3.b — The organisation adheres to hand-hygiene guidelines.</w:t>
      </w:r>
    </w:p>
    <w:p>
      <w:pPr>
        <w:pStyle w:val="ListParagraph"/>
        <w:numPr>
          <w:ilvl w:val="0"/>
          <w:numId w:val="1"/>
        </w:numPr>
        <w:spacing w:after="60"/>
      </w:pPr>
      <w:r>
        <w:rPr>
          <w:sz w:val="22"/>
          <w:szCs w:val="22"/>
        </w:rPr>
        <w:t xml:space="preserve">Records showing IPC.3.b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IPC.3.b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IPC.3.c — The organisation adheres to transmission-based precautions.</w:t>
      </w:r>
    </w:p>
    <w:p>
      <w:pPr>
        <w:pStyle w:val="ListParagraph"/>
        <w:numPr>
          <w:ilvl w:val="0"/>
          <w:numId w:val="1"/>
        </w:numPr>
        <w:spacing w:after="60"/>
      </w:pPr>
      <w:r>
        <w:rPr>
          <w:sz w:val="22"/>
          <w:szCs w:val="22"/>
        </w:rPr>
        <w:t xml:space="preserve">Records showing IPC.3.c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IPC.3.c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IPC.3.d — The organisation adheres to safe injection and infusion practices.</w:t>
      </w:r>
    </w:p>
    <w:p>
      <w:pPr>
        <w:pStyle w:val="ListParagraph"/>
        <w:numPr>
          <w:ilvl w:val="0"/>
          <w:numId w:val="1"/>
        </w:numPr>
        <w:spacing w:after="60"/>
      </w:pPr>
      <w:r>
        <w:rPr>
          <w:sz w:val="22"/>
          <w:szCs w:val="22"/>
        </w:rPr>
        <w:t xml:space="preserve">Records showing IPC.3.d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IPC.3.d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IPC.3.e — Appropriate antimicrobial usage policy is established and documented</w:t>
      </w:r>
    </w:p>
    <w:p>
      <w:pPr>
        <w:pStyle w:val="ListParagraph"/>
        <w:numPr>
          <w:ilvl w:val="0"/>
          <w:numId w:val="1"/>
        </w:numPr>
        <w:spacing w:after="60"/>
      </w:pPr>
      <w:r>
        <w:rPr>
          <w:sz w:val="22"/>
          <w:szCs w:val="22"/>
        </w:rPr>
        <w:t xml:space="preserve">Records showing IPC.3.e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IPC.3.e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IPC.3.f — The organisation implements the antimicrobial stewardship programme and monitors the use of antimicrobial agents.</w:t>
      </w:r>
    </w:p>
    <w:p>
      <w:pPr>
        <w:pStyle w:val="ListParagraph"/>
        <w:numPr>
          <w:ilvl w:val="0"/>
          <w:numId w:val="1"/>
        </w:numPr>
        <w:spacing w:after="60"/>
      </w:pPr>
      <w:r>
        <w:rPr>
          <w:sz w:val="22"/>
          <w:szCs w:val="22"/>
        </w:rPr>
        <w:t xml:space="preserve">Records showing IPC.3.f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IPC.3.f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«HCO/IPC/POL/03»  |  Controlled document  |  Infection Prevention and Control in Clinical Areas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2026-08-21T06:44:12.143Z</dcterms:created>
  <dcterms:modified xsi:type="dcterms:W3CDTF">2026-08-21T06:44:12.143Z</dcterms:modified>
</cp:coreProperties>
</file>

<file path=docProps/custom.xml><?xml version="1.0" encoding="utf-8"?>
<Properties xmlns="http://schemas.openxmlformats.org/officeDocument/2006/custom-properties" xmlns:vt="http://schemas.openxmlformats.org/officeDocument/2006/docPropsVTypes"/>
</file>