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Professional Functioning</w:t>
      </w:r>
    </w:p>
    <w:p>
      <w:pPr>
        <w:spacing w:after="300"/>
        <w:jc w:val="center"/>
      </w:pPr>
      <w:r>
        <w:rPr>
          <w:i/>
          <w:iCs/>
          <w:sz w:val="20"/>
          <w:szCs w:val="20"/>
        </w:rPr>
        <w:t xml:space="preserve">(Mandatory System Documentation as per NABH SHCO 3rd Edition — ROM.3.a, ROM.3.b, ROM.3.c, ROM.3.d, ROM.3.e)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HMP/ROM/POL-3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ROM.3.a, ROM.3.b, ROM.3.c, ROM.3.d, ROM.3.e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ROM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ROM.3.a</w:t>
            </w:r>
          </w:p>
        </w:tc>
        <w:tc>
          <w:tcPr>
            <w:tcW w:type="pct" w:w="45%"/>
          </w:tcPr>
          <w:p>
            <w:r>
              <w:rPr>
                <w:b w:val="false"/>
                <w:bCs w:val="false"/>
                <w:sz w:val="18"/>
                <w:szCs w:val="18"/>
              </w:rPr>
              <w:t xml:space="preserve">Those responsible for governance approve the strategic and operational plans and the organisation's annual budget.</w:t>
            </w:r>
          </w:p>
        </w:tc>
        <w:tc>
          <w:tcPr>
            <w:tcW w:type="pct" w:w="20%"/>
          </w:tcPr>
          <w:p>
            <w:r>
              <w:rPr>
                <w:b w:val="false"/>
                <w:bCs w:val="false"/>
                <w:sz w:val="18"/>
                <w:szCs w:val="18"/>
              </w:rPr>
              <w:t xml:space="preserve">Steps 1, 6</w:t>
            </w:r>
          </w:p>
        </w:tc>
        <w:tc>
          <w:tcPr>
            <w:tcW w:type="pct" w:w="20%"/>
          </w:tcPr>
          <w:p>
            <w:r>
              <w:rPr>
                <w:b w:val="false"/>
                <w:bCs w:val="false"/>
                <w:sz w:val="18"/>
                <w:szCs w:val="18"/>
              </w:rPr>
              <w:t xml:space="preserve">Those responsible for governance approve; PSQ.4.c remains the earmark; quality or accreditation coordinator audits</w:t>
            </w:r>
          </w:p>
        </w:tc>
      </w:tr>
      <w:tr>
        <w:tc>
          <w:tcPr>
            <w:tcW w:type="pct" w:w="15%"/>
          </w:tcPr>
          <w:p>
            <w:r>
              <w:rPr>
                <w:b w:val="false"/>
                <w:bCs w:val="false"/>
                <w:sz w:val="18"/>
                <w:szCs w:val="18"/>
              </w:rPr>
              <w:t xml:space="preserve">ROM.3.b</w:t>
            </w:r>
          </w:p>
        </w:tc>
        <w:tc>
          <w:tcPr>
            <w:tcW w:type="pct" w:w="45%"/>
          </w:tcPr>
          <w:p>
            <w:r>
              <w:rPr>
                <w:b w:val="false"/>
                <w:bCs w:val="false"/>
                <w:sz w:val="18"/>
                <w:szCs w:val="18"/>
              </w:rPr>
              <w:t xml:space="preserve">The organisation coordinates the functioning with departments and external agencies and monitors the progress in achieving the defined goals and objectives.</w:t>
            </w:r>
          </w:p>
        </w:tc>
        <w:tc>
          <w:tcPr>
            <w:tcW w:type="pct" w:w="20%"/>
          </w:tcPr>
          <w:p>
            <w:r>
              <w:rPr>
                <w:b w:val="false"/>
                <w:bCs w:val="false"/>
                <w:sz w:val="18"/>
                <w:szCs w:val="18"/>
              </w:rPr>
              <w:t xml:space="preserve">Steps 2, 6</w:t>
            </w:r>
          </w:p>
        </w:tc>
        <w:tc>
          <w:tcPr>
            <w:tcW w:type="pct" w:w="20%"/>
          </w:tcPr>
          <w:p>
            <w:r>
              <w:rPr>
                <w:b w:val="false"/>
                <w:bCs w:val="false"/>
                <w:sz w:val="18"/>
                <w:szCs w:val="18"/>
              </w:rPr>
              <w:t xml:space="preserve">Head of the institution coordinates; department heads and named external-agency leads participate; quality or accreditation coordinator audits</w:t>
            </w:r>
          </w:p>
        </w:tc>
      </w:tr>
      <w:tr>
        <w:tc>
          <w:tcPr>
            <w:tcW w:type="pct" w:w="15%"/>
          </w:tcPr>
          <w:p>
            <w:r>
              <w:rPr>
                <w:b w:val="false"/>
                <w:bCs w:val="false"/>
                <w:sz w:val="18"/>
                <w:szCs w:val="18"/>
              </w:rPr>
              <w:t xml:space="preserve">ROM.3.c</w:t>
            </w:r>
          </w:p>
        </w:tc>
        <w:tc>
          <w:tcPr>
            <w:tcW w:type="pct" w:w="45%"/>
          </w:tcPr>
          <w:p>
            <w:r>
              <w:rPr>
                <w:b w:val="false"/>
                <w:bCs w:val="false"/>
                <w:sz w:val="18"/>
                <w:szCs w:val="18"/>
              </w:rPr>
              <w:t xml:space="preserve">The functioning of committees is reviewed for their effectiveness.</w:t>
            </w:r>
          </w:p>
        </w:tc>
        <w:tc>
          <w:tcPr>
            <w:tcW w:type="pct" w:w="20%"/>
          </w:tcPr>
          <w:p>
            <w:r>
              <w:rPr>
                <w:b w:val="false"/>
                <w:bCs w:val="false"/>
                <w:sz w:val="18"/>
                <w:szCs w:val="18"/>
              </w:rPr>
              <w:t xml:space="preserve">Steps 3, 6</w:t>
            </w:r>
          </w:p>
        </w:tc>
        <w:tc>
          <w:tcPr>
            <w:tcW w:type="pct" w:w="20%"/>
          </w:tcPr>
          <w:p>
            <w:r>
              <w:rPr>
                <w:b w:val="false"/>
                <w:bCs w:val="false"/>
                <w:sz w:val="18"/>
                <w:szCs w:val="18"/>
              </w:rPr>
              <w:t xml:space="preserve">Named reviewer (governance or head); committee chairs remain owning-document leads; quality or accreditation coordinator audits</w:t>
            </w:r>
          </w:p>
        </w:tc>
      </w:tr>
      <w:tr>
        <w:tc>
          <w:tcPr>
            <w:tcW w:type="pct" w:w="15%"/>
          </w:tcPr>
          <w:p>
            <w:r>
              <w:rPr>
                <w:b w:val="false"/>
                <w:bCs w:val="false"/>
                <w:sz w:val="18"/>
                <w:szCs w:val="18"/>
              </w:rPr>
              <w:t xml:space="preserve">ROM.3.d</w:t>
            </w:r>
          </w:p>
        </w:tc>
        <w:tc>
          <w:tcPr>
            <w:tcW w:type="pct" w:w="45%"/>
          </w:tcPr>
          <w:p>
            <w:r>
              <w:rPr>
                <w:b w:val="false"/>
                <w:bCs w:val="false"/>
                <w:sz w:val="18"/>
                <w:szCs w:val="18"/>
              </w:rPr>
              <w:t xml:space="preserve">The organisation documents the service standards that are measurable and monitors them.</w:t>
            </w:r>
          </w:p>
        </w:tc>
        <w:tc>
          <w:tcPr>
            <w:tcW w:type="pct" w:w="20%"/>
          </w:tcPr>
          <w:p>
            <w:r>
              <w:rPr>
                <w:b w:val="false"/>
                <w:bCs w:val="false"/>
                <w:sz w:val="18"/>
                <w:szCs w:val="18"/>
              </w:rPr>
              <w:t xml:space="preserve">Steps 4, 6</w:t>
            </w:r>
          </w:p>
        </w:tc>
        <w:tc>
          <w:tcPr>
            <w:tcW w:type="pct" w:w="20%"/>
          </w:tcPr>
          <w:p>
            <w:r>
              <w:rPr>
                <w:b w:val="false"/>
                <w:bCs w:val="false"/>
                <w:sz w:val="18"/>
                <w:szCs w:val="18"/>
              </w:rPr>
              <w:t xml:space="preserve">Head of the institution keeps the set current; department heads monitor in their areas; AAC.1/PSQ.2 remain those documents; quality or accreditation coordinator audits</w:t>
            </w:r>
          </w:p>
        </w:tc>
      </w:tr>
      <w:tr>
        <w:tc>
          <w:tcPr>
            <w:tcW w:type="pct" w:w="15%"/>
          </w:tcPr>
          <w:p>
            <w:r>
              <w:rPr>
                <w:b w:val="false"/>
                <w:bCs w:val="false"/>
                <w:sz w:val="18"/>
                <w:szCs w:val="18"/>
              </w:rPr>
              <w:t xml:space="preserve">ROM.3.e</w:t>
            </w:r>
          </w:p>
        </w:tc>
        <w:tc>
          <w:tcPr>
            <w:tcW w:type="pct" w:w="45%"/>
          </w:tcPr>
          <w:p>
            <w:r>
              <w:rPr>
                <w:b w:val="false"/>
                <w:bCs w:val="false"/>
                <w:sz w:val="18"/>
                <w:szCs w:val="18"/>
              </w:rPr>
              <w:t xml:space="preserve">The organization documents staff rights and responsibilities.</w:t>
            </w:r>
          </w:p>
        </w:tc>
        <w:tc>
          <w:tcPr>
            <w:tcW w:type="pct" w:w="20%"/>
          </w:tcPr>
          <w:p>
            <w:r>
              <w:rPr>
                <w:b w:val="false"/>
                <w:bCs w:val="false"/>
                <w:sz w:val="18"/>
                <w:szCs w:val="18"/>
              </w:rPr>
              <w:t xml:space="preserve">Steps 5, 6</w:t>
            </w:r>
          </w:p>
        </w:tc>
        <w:tc>
          <w:tcPr>
            <w:tcW w:type="pct" w:w="20%"/>
          </w:tcPr>
          <w:p>
            <w:r>
              <w:rPr>
                <w:b w:val="false"/>
                <w:bCs w:val="false"/>
                <w:sz w:val="18"/>
                <w:szCs w:val="18"/>
              </w:rPr>
              <w:t xml:space="preserve">Head of the institution ensures the document exists; HRM may hold the working copy; PRE remains patient rights;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Responsibilities of Management (SHCO 3rd Edition Chapter 7)</w:t>
            </w:r>
          </w:p>
        </w:tc>
      </w:tr>
      <w:tr>
        <w:tc>
          <w:tcPr>
            <w:tcW w:type="pct" w:w="25%"/>
          </w:tcPr>
          <w:p>
            <w:r>
              <w:rPr>
                <w:b w:val="false"/>
                <w:bCs w:val="false"/>
                <w:sz w:val="18"/>
                <w:szCs w:val="18"/>
              </w:rPr>
              <w:t xml:space="preserve">QI</w:t>
            </w:r>
          </w:p>
        </w:tc>
        <w:tc>
          <w:tcPr>
            <w:tcW w:type="pct" w:w="75%"/>
          </w:tcPr>
          <w:p>
            <w:r>
              <w:rPr>
                <w:b w:val="false"/>
                <w:bCs w:val="false"/>
                <w:sz w:val="18"/>
                <w:szCs w:val="18"/>
              </w:rPr>
              <w:t xml:space="preserve">quality improvement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displays professionalism in its functioning: how those responsible for governance approve the strategic and operational plans and the organisation's annual budget; how the organisation coordinates functioning with departments and external agencies and monitors progress toward defined goals and objectives; how the functioning of committees is reviewed for effectiveness; how the organisation documents measurable service standards and monitors them; and how it documents staff rights and responsibilities.
The chapter intent is professional and ethical governance and defined management responsibilities. A budget the board never saw, or service standards that are slogans without a measure, is not that professionalism.
This document is professional functioning. It is not identification of the governing entity (ROM.1), not the day-to-day head (ROM.2), and not organisation-wide risk management (ROM.4).</w:t>
      </w:r>
    </w:p>
    <w:p>
      <w:pPr>
        <w:pStyle w:val="Heading1"/>
        <w:spacing w:after="150" w:before="300"/>
      </w:pPr>
      <w:r>
        <w:t xml:space="preserve">2. Scope</w:t>
      </w:r>
    </w:p>
    <w:p>
      <w:pPr>
        <w:spacing w:after="150"/>
      </w:pPr>
      <w:r>
        <w:rPr>
          <w:sz w:val="22"/>
          <w:szCs w:val="22"/>
        </w:rPr>
        <w:t xml:space="preserve">This policy applies to those responsible for governance, the person heading HMP Foundation, the people who coordinate departments and external agencies, the committees whose functioning is reviewed, and the people who set and monitor service standards and who hold the staff-rights document.
It covers: governance approval of strategic and operational plans and the annual budget; coordination with departments and external agencies and monitoring of goals; review of committee functioning; documented measurable service standards and their monitoring; and documented staff rights and responsibilities.
Boundaries with other policies of HMP Foundation:
- Those responsible for governance are identified in ROM.1 (sibling). This document owns what they approve here (plans and budget). ROM.1.c monitors performance against the mission; this document's ROM.3.d monitors measurable service standards. They may share data; they are not the same OE.
- The person heading the organisation is ROM.2 (sibling). That person operates these systems day-to-day. This document owns the systems.
- PSQ.4.c (sibling branch cursor/draft-psq1-psq5-unapproved-9324) owns that management earmarks adequate funds from the annual budget for the patient-safety and QI programme. THIS document's ROM.3.a owns governance approval of the annual budget. The earmark sits inside a budget this OE approved. Do not rewrite PSQ.4.c here, and do not treat an earmark as budget approval.
- PSQ.1 owns the patient-safety and QI programmes and their committees. PSQ.3 owns clinical audit. This document's ROM.3.c owns that committee functioning is reviewed for effectiveness — including those committees and any other committee this hospital actually runs. It does not rewrite PSQ.1 or PSQ.3 method.
- PSQ.2 owns key indicators as tools for continual improvement. ROM.3.d owns documented measurable service standards and monitoring them. An indicator may measure a service standard; the service-standard document is this OE.
- AAC.1 owns the written definition of healthcare services. Service standards here measure how those defined services are delivered. Unused services are a recorded absence, not a copied ICU standard.
- PRE.1/PRE.2 (sibling branch) own patient and family rights. ROM.3.e is staff rights and responsibilities. Do not use one poster for both.
- HRM (not yet drafted) owns the employment file, job descriptions, grievance as an HR process, and training. This document owns that staff rights and responsibilities are documented as a governance/management act. HRM may hold the working copy.
- FMS (not yet drafted) may own facility service levels. A facility KPI is not this hospital-wide service-standard set counted twice.
- Choudhuri on strategic planning (chapter reference 10) and Strategic Planning: Why It Makes a Difference (chapter reference 41) are frameworks, not pasted plans. No rupee figure is a NABH mandate.</w:t>
      </w:r>
    </w:p>
    <w:p>
      <w:pPr>
        <w:pStyle w:val="Heading1"/>
        <w:spacing w:after="150" w:before="300"/>
      </w:pPr>
      <w:r>
        <w:t xml:space="preserve">3. Policy Statement</w:t>
      </w:r>
    </w:p>
    <w:p>
      <w:pPr>
        <w:spacing w:after="150"/>
      </w:pPr>
      <w:r>
        <w:rPr>
          <w:sz w:val="22"/>
          <w:szCs w:val="22"/>
        </w:rPr>
        <w:t xml:space="preserve">HMP Foundation requires those responsible for governance to approve the strategic and operational plans and the organisation's annual budget.
HMP Foundation coordinates functioning with departments and external agencies and monitors progress in achieving defined goals and objectives.
HMP Foundation reviews the functioning of committees for their effectiveness.
HMP Foundation documents service standards that are measurable and monitors them.
HMP Foundation documents staff rights and responsibilities.
HMP Foundation does not treat an unapproved budget, a dormant committee list, or a slogan without a measure, as professional functioning.</w:t>
      </w:r>
    </w:p>
    <w:p>
      <w:pPr>
        <w:pStyle w:val="Heading1"/>
        <w:spacing w:after="150" w:before="300"/>
      </w:pPr>
      <w:r>
        <w:t xml:space="preserve">4. Procedure</w:t>
      </w:r>
    </w:p>
    <w:p>
      <w:pPr>
        <w:spacing w:after="90" w:before="240"/>
      </w:pPr>
      <w:r>
        <w:rPr>
          <w:b/>
          <w:bCs/>
          <w:sz w:val="23"/>
          <w:szCs w:val="23"/>
        </w:rPr>
        <w:t xml:space="preserve">1. Governance approval of strategic and operational plans and the annual budget (ROM.3.a)</w:t>
      </w:r>
    </w:p>
    <w:p>
      <w:pPr>
        <w:spacing w:after="120"/>
      </w:pPr>
      <w:r>
        <w:rPr>
          <w:sz w:val="22"/>
          <w:szCs w:val="22"/>
        </w:rPr>
        <w:t xml:space="preserve">Those responsible for governance approve the strategic and operational plans and the organisation's annual budget.</w:t>
      </w:r>
    </w:p>
    <w:p>
      <w:pPr>
        <w:spacing w:after="120"/>
      </w:pPr>
      <w:r>
        <w:rPr>
          <w:sz w:val="22"/>
          <w:szCs w:val="22"/>
        </w:rPr>
        <w:t xml:space="preserve">What the strategic plan, operational plan and annual budget are, who presents them, and how approval is recorded, are [Hospital to define — how those responsible for governance approve the strategic and operational plans and the annual budget]. PSQ.4.c earmarks funds for the patient-safety and QI programme from that budget; it does not approve the budget. This document does not print a rupee figure or a mandated financial year-end as a NABH mandate. Choudhuri (chapter reference 10) is a framework, not a pasted plan.</w:t>
      </w:r>
    </w:p>
    <w:p>
      <w:pPr>
        <w:spacing w:after="90" w:before="240"/>
      </w:pPr>
      <w:r>
        <w:rPr>
          <w:b/>
          <w:bCs/>
          <w:sz w:val="23"/>
          <w:szCs w:val="23"/>
        </w:rPr>
        <w:t xml:space="preserve">2. Coordination with departments and external agencies; monitoring of goals (ROM.3.b)</w:t>
      </w:r>
    </w:p>
    <w:p>
      <w:pPr>
        <w:spacing w:after="120"/>
      </w:pPr>
      <w:r>
        <w:rPr>
          <w:sz w:val="22"/>
          <w:szCs w:val="22"/>
        </w:rPr>
        <w:t xml:space="preserve">The organisation coordinates the functioning with departments and external agencies and monitors the progress in achieving the defined goals and objectives.</w:t>
      </w:r>
    </w:p>
    <w:p>
      <w:pPr>
        <w:spacing w:after="120"/>
      </w:pPr>
      <w:r>
        <w:rPr>
          <w:sz w:val="22"/>
          <w:szCs w:val="22"/>
        </w:rPr>
        <w:t xml:space="preserve">Which departments, which external agencies, which goals and objectives, how coordination is done, and how progress is monitored, are [Hospital to define — how functioning is coordinated with departments and external agencies and how progress toward defined goals and objectives is monitored]. External agencies are those this hospital actually deals with (for example a referred hospital, a diagnostic partner, a municipal authority). AAC.1 unused services do not invent an agency.</w:t>
      </w:r>
    </w:p>
    <w:p>
      <w:pPr>
        <w:spacing w:after="90" w:before="240"/>
      </w:pPr>
      <w:r>
        <w:rPr>
          <w:b/>
          <w:bCs/>
          <w:sz w:val="23"/>
          <w:szCs w:val="23"/>
        </w:rPr>
        <w:t xml:space="preserve">3. Review of committee functioning for effectiveness (ROM.3.c)</w:t>
      </w:r>
    </w:p>
    <w:p>
      <w:pPr>
        <w:spacing w:after="120"/>
      </w:pPr>
      <w:r>
        <w:rPr>
          <w:sz w:val="22"/>
          <w:szCs w:val="22"/>
        </w:rPr>
        <w:t xml:space="preserve">The functioning of committees is reviewed for their effectiveness.</w:t>
      </w:r>
    </w:p>
    <w:p>
      <w:pPr>
        <w:spacing w:after="120"/>
      </w:pPr>
      <w:r>
        <w:rPr>
          <w:sz w:val="22"/>
          <w:szCs w:val="22"/>
        </w:rPr>
        <w:t xml:space="preserve">Which committees this hospital actually runs, who reviews them, at what interval, and how effectiveness is recorded, are [Hospital to define — how the functioning of committees is reviewed for effectiveness]. PSQ.1 committees, the infection-control committee (HIC.1), the medication committee (MOM.1) and any other named committee remain those documents for what they do. This step owns that their functioning is reviewed for effectiveness. A membership list of absentees is not a review.</w:t>
      </w:r>
    </w:p>
    <w:p>
      <w:pPr>
        <w:spacing w:after="90" w:before="240"/>
      </w:pPr>
      <w:r>
        <w:rPr>
          <w:b/>
          <w:bCs/>
          <w:sz w:val="23"/>
          <w:szCs w:val="23"/>
        </w:rPr>
        <w:t xml:space="preserve">4. Documented measurable service standards, monitored (ROM.3.d)</w:t>
      </w:r>
    </w:p>
    <w:p>
      <w:pPr>
        <w:spacing w:after="120"/>
      </w:pPr>
      <w:r>
        <w:rPr>
          <w:sz w:val="22"/>
          <w:szCs w:val="22"/>
        </w:rPr>
        <w:t xml:space="preserve">The organisation documents the service standards that are measurable and monitors them. This step is the documented-evidence anchor of a requirement the standard asterisks. An assessor will ask which service standards exist, whether they can be measured, and whether they were monitored. The answer must be a documented set this hospital uses against the services it actually runs, not a slogan ("we provide quality care") and not PSQ.2's indicator file counted twice.</w:t>
      </w:r>
    </w:p>
    <w:p>
      <w:pPr>
        <w:spacing w:after="120"/>
      </w:pPr>
      <w:r>
        <w:rPr>
          <w:sz w:val="22"/>
          <w:szCs w:val="22"/>
        </w:rPr>
        <w:t xml:space="preserve">The reason this is the professionalism step is that a hospital that cannot say what good looks like, in a form that can be counted, cannot show it improved. The common error is to paste Annexure 1 KPIs, or AAC.1's service directory, and call that service standards. AAC.1 names what is offered. PSQ.2 names indicators used as tools for continual improvement. This OE names service standards that are measurable and the monitoring of those standards. An indicator may be how a standard is monitored; the standard itself is written here.</w:t>
      </w:r>
    </w:p>
    <w:p>
      <w:pPr>
        <w:spacing w:after="120"/>
      </w:pPr>
      <w:r>
        <w:rPr>
          <w:sz w:val="22"/>
          <w:szCs w:val="22"/>
        </w:rPr>
        <w:t xml:space="preserve">Which service standards, how each is measurable, how they are monitored, and how that is recorded, are [Hospital to define — the documented measurable service standards and how they are monitored]. A service the directory does not provide is a recorded absence, not a copied ICU waiting-time standard. This document does not print a mandated turnaround-time figure as a NABH number.</w:t>
      </w:r>
    </w:p>
    <w:p>
      <w:pPr>
        <w:spacing w:after="90" w:before="240"/>
      </w:pPr>
      <w:r>
        <w:rPr>
          <w:b/>
          <w:bCs/>
          <w:sz w:val="23"/>
          <w:szCs w:val="23"/>
        </w:rPr>
        <w:t xml:space="preserve">5. Staff rights and responsibilities documented (ROM.3.e)</w:t>
      </w:r>
    </w:p>
    <w:p>
      <w:pPr>
        <w:spacing w:after="120"/>
      </w:pPr>
      <w:r>
        <w:rPr>
          <w:sz w:val="22"/>
          <w:szCs w:val="22"/>
        </w:rPr>
        <w:t xml:space="preserve">The organization documents staff rights and responsibilities.</w:t>
      </w:r>
    </w:p>
    <w:p>
      <w:pPr>
        <w:spacing w:after="120"/>
      </w:pPr>
      <w:r>
        <w:rPr>
          <w:sz w:val="22"/>
          <w:szCs w:val="22"/>
        </w:rPr>
        <w:t xml:space="preserve">What those rights and responsibilities are, where they are documented, and how staff are made aware of them, are [Hospital to define — how staff rights and responsibilities are documented and made known]. Official spelling in the OE is "organization". Patient rights remain PRE.1/PRE.2. HRM (when drafted) may hold the working copy and the grievance file. This step owns that the document exists as a management act.</w:t>
      </w:r>
    </w:p>
    <w:p>
      <w:pPr>
        <w:spacing w:after="90" w:before="240"/>
      </w:pPr>
      <w:r>
        <w:rPr>
          <w:b/>
          <w:bCs/>
          <w:sz w:val="23"/>
          <w:szCs w:val="23"/>
        </w:rPr>
        <w:t xml:space="preserve">6. Records, review and the order of operations (ROM.3.a, ROM.3.b, ROM.3.c, ROM.3.d, ROM.3.e)</w:t>
      </w:r>
    </w:p>
    <w:p>
      <w:pPr>
        <w:spacing w:after="120"/>
      </w:pPr>
      <w:r>
        <w:rPr>
          <w:sz w:val="22"/>
          <w:szCs w:val="22"/>
        </w:rPr>
        <w:t xml:space="preserve">The approved plans and budget, coordination and goal-monitoring records, committee-effectiveness reviews, the measurable service-standard set and monitoring records, and the staff-rights document, are retrievable.</w:t>
      </w:r>
    </w:p>
    <w:p>
      <w:pPr>
        <w:spacing w:after="120"/>
      </w:pPr>
      <w:r>
        <w:rPr>
          <w:sz w:val="22"/>
          <w:szCs w:val="22"/>
        </w:rPr>
        <w:t xml:space="preserve">The quality or accreditation coordinator audits a sample of these records at [Hospital to define — the audit interval for professional-functioning records] for: plans and budget actually approved by the governing entity; PSQ.4.c earmark sitting inside that budget rather than replacing approval; committee reviews that are not only membership lists; service standards that are measurable and monitored rather than slogans or a second PSQ.2 file; staff rights distinct from PRE patient rights; and no rupee figure offered as a NABH mandate.</w:t>
      </w:r>
    </w:p>
    <w:p>
      <w:pPr>
        <w:spacing w:after="120"/>
      </w:pPr>
      <w:r>
        <w:rPr>
          <w:sz w:val="22"/>
          <w:szCs w:val="22"/>
        </w:rPr>
        <w:t xml:space="preserve">This policy is reviewed at [Hospital to define — the review interval for this policy], and sooner when the governing entity or the service directory changed, or when ROM.1, ROM.2, ROM.4, PSQ.2, PSQ.4 or AAC.1 that this document hands work to are revised.</w:t>
      </w:r>
    </w:p>
    <w:p>
      <w:pPr>
        <w:pStyle w:val="Heading1"/>
        <w:spacing w:after="150" w:before="300"/>
      </w:pPr>
      <w:r>
        <w:t xml:space="preserve">5. Responsibility</w:t>
      </w:r>
    </w:p>
    <w:p>
      <w:pPr>
        <w:spacing w:after="150"/>
      </w:pPr>
      <w:r>
        <w:rPr>
          <w:sz w:val="22"/>
          <w:szCs w:val="22"/>
        </w:rPr>
        <w:t xml:space="preserve">Those responsible for governance approve plans and the annual budget at step 1 and receive committee-effectiveness and service-standard monitoring.
The person heading the organisation coordinates departments and external agencies at step 2 and operates these systems day-to-day.
Committee chairs remain responsible for their own committees' work under the owning documents (PSQ.1, HIC.1, MOM.1 and others). This document reviews functioning.
HRM (when drafted) may hold the staff-rights working copy.
The quality or accreditation coordinator audits the records at step 6.
All staff are expected to treat an unapproved budget, a dormant committee, and a slogan offered as a service standard,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7 ROM, standard ROM.3. Official ROM.3.e uses "organization".
- Choudhuri, D. (2015). Strategic Planning: A Comprehensive Approach — chapter reference 10; framework, not a pasted plan.
- Strategic Planning: Why It Makes a Difference, and How to Do It. (2009). Journal of Oncology Practice, 5(3), 139-143 — chapter reference 41; framework.
- Internal documents of HMP Foundation: strategic and operational plans; annual budget; committee list and effectiveness reviews; measurable service standards; staff rights and responsibilities; ROM.1, ROM.2, ROM.4; PSQ.2, PSQ.4; AAC.1; PRE.1.</w:t>
      </w:r>
    </w:p>
    <w:p>
      <w:pPr>
        <w:pStyle w:val="Heading1"/>
        <w:spacing w:after="150" w:before="300"/>
      </w:pPr>
      <w:r>
        <w:t xml:space="preserve">7. Distribution</w:t>
      </w:r>
    </w:p>
    <w:p>
      <w:pPr>
        <w:spacing w:after="150"/>
      </w:pPr>
      <w:r>
        <w:rPr>
          <w:sz w:val="22"/>
          <w:szCs w:val="22"/>
        </w:rPr>
        <w:t xml:space="preserve">Controlled master copy: office of those responsible for governance, HMP Foundation, with the head of the institution and the quality or accreditation coordinator.
Copies issued to: committee chairs; department heads who operate service standards.
The current version is available to all staff at [Hospital to define — intranet location or nursing station folder]. The staff-rights document is held where staff can actually read it.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ROM.3.a — Those responsible for governance approve the strategic and operational plans and the organisation's annual budget.</w:t>
      </w:r>
    </w:p>
    <w:p>
      <w:pPr>
        <w:pStyle w:val="ListParagraph"/>
        <w:numPr>
          <w:ilvl w:val="0"/>
          <w:numId w:val="1"/>
        </w:numPr>
        <w:spacing w:after="60"/>
      </w:pPr>
      <w:r>
        <w:rPr>
          <w:sz w:val="22"/>
          <w:szCs w:val="22"/>
        </w:rPr>
        <w:t xml:space="preserve">Sample approved strategic plan, operational plan and annual budget showing governance approval</w:t>
      </w:r>
    </w:p>
    <w:p>
      <w:pPr>
        <w:pStyle w:val="ListParagraph"/>
        <w:numPr>
          <w:ilvl w:val="0"/>
          <w:numId w:val="1"/>
        </w:numPr>
        <w:spacing w:after="60"/>
      </w:pPr>
      <w:r>
        <w:rPr>
          <w:sz w:val="22"/>
          <w:szCs w:val="22"/>
        </w:rPr>
        <w:t xml:space="preserve">the recorded split that PSQ.4.c earmarks programme funds from this budget and does not approve it</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ROM.3.b — The organisation coordinates the functioning with departments and external agencies and monitors the progress in achieving the defined goals and objectives.</w:t>
      </w:r>
    </w:p>
    <w:p>
      <w:pPr>
        <w:pStyle w:val="ListParagraph"/>
        <w:numPr>
          <w:ilvl w:val="0"/>
          <w:numId w:val="1"/>
        </w:numPr>
        <w:spacing w:after="60"/>
      </w:pPr>
      <w:r>
        <w:rPr>
          <w:sz w:val="22"/>
          <w:szCs w:val="22"/>
        </w:rPr>
        <w:t xml:space="preserve">The written coordination method and sample progress-monitoring records</w:t>
      </w:r>
    </w:p>
    <w:p>
      <w:pPr>
        <w:pStyle w:val="ListParagraph"/>
        <w:numPr>
          <w:ilvl w:val="0"/>
          <w:numId w:val="1"/>
        </w:numPr>
        <w:spacing w:after="60"/>
      </w:pPr>
      <w:r>
        <w:rPr>
          <w:sz w:val="22"/>
          <w:szCs w:val="22"/>
        </w:rPr>
        <w:t xml:space="preserve">the recorded split that unused AAC.1 services do not invent an agency</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ROM.3.c — The functioning of committees is reviewed for their effectiveness.</w:t>
      </w:r>
    </w:p>
    <w:p>
      <w:pPr>
        <w:pStyle w:val="ListParagraph"/>
        <w:numPr>
          <w:ilvl w:val="0"/>
          <w:numId w:val="1"/>
        </w:numPr>
        <w:spacing w:after="60"/>
      </w:pPr>
      <w:r>
        <w:rPr>
          <w:sz w:val="22"/>
          <w:szCs w:val="22"/>
        </w:rPr>
        <w:t xml:space="preserve">The committee list this hospital actually runs and sample effectiveness reviews</w:t>
      </w:r>
    </w:p>
    <w:p>
      <w:pPr>
        <w:pStyle w:val="ListParagraph"/>
        <w:numPr>
          <w:ilvl w:val="0"/>
          <w:numId w:val="1"/>
        </w:numPr>
        <w:spacing w:after="60"/>
      </w:pPr>
      <w:r>
        <w:rPr>
          <w:sz w:val="22"/>
          <w:szCs w:val="22"/>
        </w:rPr>
        <w:t xml:space="preserve">the recorded split that PSQ.1/HIC.1/MOM.1 own what those committees do</w:t>
      </w:r>
    </w:p>
    <w:p>
      <w:pPr>
        <w:pStyle w:val="ListParagraph"/>
        <w:numPr>
          <w:ilvl w:val="0"/>
          <w:numId w:val="1"/>
        </w:numPr>
        <w:spacing w:after="60"/>
      </w:pPr>
      <w:r>
        <w:rPr>
          <w:sz w:val="22"/>
          <w:szCs w:val="22"/>
        </w:rPr>
        <w:t xml:space="preserve">the audit sample at step 6 of a review that is not a membership list of absentees</w:t>
      </w:r>
    </w:p>
    <w:p>
      <w:pPr>
        <w:spacing w:after="90" w:before="200"/>
      </w:pPr>
      <w:r>
        <w:rPr>
          <w:b/>
          <w:bCs/>
          <w:sz w:val="22"/>
          <w:szCs w:val="22"/>
        </w:rPr>
        <w:t xml:space="preserve">ROM.3.d — The organisation documents the service standards that are measurable and monitors them.</w:t>
      </w:r>
    </w:p>
    <w:p>
      <w:pPr>
        <w:pStyle w:val="ListParagraph"/>
        <w:numPr>
          <w:ilvl w:val="0"/>
          <w:numId w:val="1"/>
        </w:numPr>
        <w:spacing w:after="60"/>
      </w:pPr>
      <w:r>
        <w:rPr>
          <w:sz w:val="22"/>
          <w:szCs w:val="22"/>
        </w:rPr>
        <w:t xml:space="preserve">The written measurable service-standard set aligned to AAC.1 defined services rather than slogans or a copied ICU list for a service not offered</w:t>
      </w:r>
    </w:p>
    <w:p>
      <w:pPr>
        <w:pStyle w:val="ListParagraph"/>
        <w:numPr>
          <w:ilvl w:val="0"/>
          <w:numId w:val="1"/>
        </w:numPr>
        <w:spacing w:after="60"/>
      </w:pPr>
      <w:r>
        <w:rPr>
          <w:sz w:val="22"/>
          <w:szCs w:val="22"/>
        </w:rPr>
        <w:t xml:space="preserve">sample monitoring records showing the standards were actually measured</w:t>
      </w:r>
    </w:p>
    <w:p>
      <w:pPr>
        <w:pStyle w:val="ListParagraph"/>
        <w:numPr>
          <w:ilvl w:val="0"/>
          <w:numId w:val="1"/>
        </w:numPr>
        <w:spacing w:after="60"/>
      </w:pPr>
      <w:r>
        <w:rPr>
          <w:sz w:val="22"/>
          <w:szCs w:val="22"/>
        </w:rPr>
        <w:t xml:space="preserve">the recorded split that AAC.1 names what is offered, PSQ.2 owns key indicators as QI tools, and this OE owns the service standards themselves</w:t>
      </w:r>
    </w:p>
    <w:p>
      <w:pPr>
        <w:pStyle w:val="ListParagraph"/>
        <w:numPr>
          <w:ilvl w:val="0"/>
          <w:numId w:val="1"/>
        </w:numPr>
        <w:spacing w:after="60"/>
      </w:pPr>
      <w:r>
        <w:rPr>
          <w:sz w:val="22"/>
          <w:szCs w:val="22"/>
        </w:rPr>
        <w:t xml:space="preserve">the recorded refusal to paste Annexure 1 or a mandated turnaround-time figure as a NABH number</w:t>
      </w:r>
    </w:p>
    <w:p>
      <w:pPr>
        <w:pStyle w:val="ListParagraph"/>
        <w:numPr>
          <w:ilvl w:val="0"/>
          <w:numId w:val="1"/>
        </w:numPr>
        <w:spacing w:after="60"/>
      </w:pPr>
      <w:r>
        <w:rPr>
          <w:sz w:val="22"/>
          <w:szCs w:val="22"/>
        </w:rPr>
        <w:t xml:space="preserve">induction or briefing of department heads who operate the standards</w:t>
      </w:r>
    </w:p>
    <w:p>
      <w:pPr>
        <w:pStyle w:val="ListParagraph"/>
        <w:numPr>
          <w:ilvl w:val="0"/>
          <w:numId w:val="1"/>
        </w:numPr>
        <w:spacing w:after="60"/>
      </w:pPr>
      <w:r>
        <w:rPr>
          <w:sz w:val="22"/>
          <w:szCs w:val="22"/>
        </w:rPr>
        <w:t xml:space="preserve">the location of the set</w:t>
      </w:r>
    </w:p>
    <w:p>
      <w:pPr>
        <w:pStyle w:val="ListParagraph"/>
        <w:numPr>
          <w:ilvl w:val="0"/>
          <w:numId w:val="1"/>
        </w:numPr>
        <w:spacing w:after="60"/>
      </w:pPr>
      <w:r>
        <w:rPr>
          <w:sz w:val="22"/>
          <w:szCs w:val="22"/>
        </w:rPr>
        <w:t xml:space="preserve">the audit sample at step 6 of monitoring that used the documented measures</w:t>
      </w:r>
    </w:p>
    <w:p>
      <w:pPr>
        <w:spacing w:after="90" w:before="200"/>
      </w:pPr>
      <w:r>
        <w:rPr>
          <w:b/>
          <w:bCs/>
          <w:sz w:val="22"/>
          <w:szCs w:val="22"/>
        </w:rPr>
        <w:t xml:space="preserve">ROM.3.e — The organization documents staff rights and responsibilities.</w:t>
      </w:r>
    </w:p>
    <w:p>
      <w:pPr>
        <w:pStyle w:val="ListParagraph"/>
        <w:numPr>
          <w:ilvl w:val="0"/>
          <w:numId w:val="1"/>
        </w:numPr>
        <w:spacing w:after="60"/>
      </w:pPr>
      <w:r>
        <w:rPr>
          <w:sz w:val="22"/>
          <w:szCs w:val="22"/>
        </w:rPr>
        <w:t xml:space="preserve">The documented staff rights and responsibilities (official spelling organization)</w:t>
      </w:r>
    </w:p>
    <w:p>
      <w:pPr>
        <w:pStyle w:val="ListParagraph"/>
        <w:numPr>
          <w:ilvl w:val="0"/>
          <w:numId w:val="1"/>
        </w:numPr>
        <w:spacing w:after="60"/>
      </w:pPr>
      <w:r>
        <w:rPr>
          <w:sz w:val="22"/>
          <w:szCs w:val="22"/>
        </w:rPr>
        <w:t xml:space="preserve">the recorded split that PRE.1/PRE.2 own patient rights and HRM holds the employment/grievance file when drafted</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HMP/ROM/POL-3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2026-08-17T16:30:34.062Z</dcterms:created>
  <dcterms:modified xsi:type="dcterms:W3CDTF">2026-08-17T16:30:34.062Z</dcterms:modified>
</cp:coreProperties>
</file>

<file path=docProps/custom.xml><?xml version="1.0" encoding="utf-8"?>
<Properties xmlns="http://schemas.openxmlformats.org/officeDocument/2006/custom-properties" xmlns:vt="http://schemas.openxmlformats.org/officeDocument/2006/docPropsVTypes"/>
</file>