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COP.12.c — Identification and management of patients at risk of fall</w:t>
      </w:r>
    </w:p>
    <w:p>
      <w:r>
        <w:t>COP.12 Record 3 — Falls-risk identification and management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identification or reassessment.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Falls-Risk Identified? (Y/N, method used): Per hospital's written method.</w:t>
      </w:r>
    </w:p>
    <w:p>
      <w:pPr>
        <w:pStyle w:val="ListParagraph"/>
      </w:pPr>
      <w:r>
        <w:t>Management Measures Applied: Footwear/bed height/toileting assistance/call device/medicine review.</w:t>
      </w:r>
    </w:p>
    <w:p>
      <w:pPr>
        <w:pStyle w:val="ListParagraph"/>
      </w:pPr>
      <w:r>
        <w:t>Fall Occurred? (Y/N, date/time, outcome): If a fall happened.</w:t>
      </w:r>
    </w:p>
    <w:p>
      <w:pPr>
        <w:pStyle w:val="ListParagraph"/>
      </w:pPr>
      <w:r>
        <w:t>Identified/Managed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falls risk was actually managed, not just scored -- and that a fall, if it happened, was recorded and reviewed, not quietly absorbed.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post-operative patient is identified at falls risk; this record shows the specific measures in place, and would also capture any fall and the review that followed.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identify and manage patients at risk of fall.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Falls-Risk Identified? (Y/N, method used)</w:t>
            </w:r>
          </w:p>
        </w:tc>
        <w:tc>
          <w:tcPr>
            <w:tcW w:type="dxa" w:w="1440"/>
          </w:tcPr>
          <w:p>
            <w:r>
              <w:t>Management Measures Applied</w:t>
            </w:r>
          </w:p>
        </w:tc>
        <w:tc>
          <w:tcPr>
            <w:tcW w:type="dxa" w:w="1440"/>
          </w:tcPr>
          <w:p>
            <w:r>
              <w:t>Fall Occurred? (Y/N, date/time, outcome)</w:t>
            </w:r>
          </w:p>
        </w:tc>
        <w:tc>
          <w:tcPr>
            <w:tcW w:type="dxa" w:w="1440"/>
          </w:tcPr>
          <w:p>
            <w:r>
              <w:t>Identified/Managed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UHID-00820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hospital falls-risk tool</w:t>
            </w:r>
          </w:p>
        </w:tc>
        <w:tc>
          <w:tcPr>
            <w:tcW w:type="dxa" w:w="1440"/>
            <w:shd w:val="clear" w:color="auto" w:fill="FFF2CC"/>
          </w:tcPr>
          <w:p>
            <w:r>
              <w:t>Bed in lowest position, call bell in reach, non-slip footwear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