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COP.13.d — Collaborative rehabilitation planning</w:t>
      </w:r>
    </w:p>
    <w:p>
      <w:r>
        <w:t>COP.13 Record 4 — Collaborative rehabilitation plan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the plan was agreed.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Goal: Rehabilitation goal.</w:t>
      </w:r>
    </w:p>
    <w:p>
      <w:pPr>
        <w:pStyle w:val="ListParagraph"/>
      </w:pPr>
      <w:r>
        <w:t>Therapy and Frequency (Deliverable): Actual frequency this hospital can deliver.</w:t>
      </w:r>
    </w:p>
    <w:p>
      <w:pPr>
        <w:pStyle w:val="ListParagraph"/>
      </w:pPr>
      <w:r>
        <w:t>Participants in Planning: Clinician, therapist, nursing, patient/family.</w:t>
      </w:r>
    </w:p>
    <w:p>
      <w:pPr>
        <w:pStyle w:val="ListParagraph"/>
      </w:pPr>
      <w:r>
        <w:t>Review Date: Scheduled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rehabilitation plan was actually made together, with a real goal and a frequency the hospital can deliver -- not a doctor's order that just says "physio".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post-stroke patient's transfer goal is agreed by the whole team together, at a frequency physiotherapy can actually staff; this record is the proof of that joint plan.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care providers to collaboratively plan rehabilitation services.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Goal</w:t>
            </w:r>
          </w:p>
        </w:tc>
        <w:tc>
          <w:tcPr>
            <w:tcW w:type="dxa" w:w="1440"/>
          </w:tcPr>
          <w:p>
            <w:r>
              <w:t>Therapy and Frequency (Deliverable)</w:t>
            </w:r>
          </w:p>
        </w:tc>
        <w:tc>
          <w:tcPr>
            <w:tcW w:type="dxa" w:w="1440"/>
          </w:tcPr>
          <w:p>
            <w:r>
              <w:t>Participants in Planning</w:t>
            </w:r>
          </w:p>
        </w:tc>
        <w:tc>
          <w:tcPr>
            <w:tcW w:type="dxa" w:w="1440"/>
          </w:tcPr>
          <w:p>
            <w:r>
              <w:t>Review Date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UHID-00920</w:t>
            </w:r>
          </w:p>
        </w:tc>
        <w:tc>
          <w:tcPr>
            <w:tcW w:type="dxa" w:w="1440"/>
            <w:shd w:val="clear" w:color="auto" w:fill="FFF2CC"/>
          </w:tcPr>
          <w:p>
            <w:r>
              <w:t>Independent transfer bed-to-chair</w:t>
            </w:r>
          </w:p>
        </w:tc>
        <w:tc>
          <w:tcPr>
            <w:tcW w:type="dxa" w:w="1440"/>
            <w:shd w:val="clear" w:color="auto" w:fill="FFF2CC"/>
          </w:tcPr>
          <w:p>
            <w:r>
              <w:t>Physiotherapy, daily, 20 minutes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Physiotherapist «Name», Nurse «Name», patient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19/03/2026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