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«Hospital Name»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Method note (from guidebook interpretation): Medication orders shall be written by a doctor who at a minimum, holds an MBBS qualification. In case there is any other category of staff authorised to write medication orders, the same shall be backed by a legislation or government order. The medication order card in the IP shall have the orders written by a doctor, even if it is the case of transcribing orders of the treating consultant from an OP record or an admission note. In facilities which use Electronic Medical Record (EMR), the doctor shall directly enter the prescription in the Hospital Information System (HIS) using his or her unique login. In case the HIS entry is made by an assistant, the same shall be verified and authorised by the doctor. Commitment _b. HM cone.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 re...</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spacing w:after="140"/>
      </w:pPr>
      <w:r>
        <w:rPr>
          <w:sz w:val="22"/>
          <w:szCs w:val="22"/>
        </w:rPr>
        <w:t xml:space="preserve">Method note (from guidebook interpretation): All the orders for medicines shall be recorded on a uniform location of the medical record. Only medications written in this location shall be administered to the patient. It is imperative that medication orders that are written in any other location of the medical record be moved to this location, electronic orders, when typed, shall again follow the same principles. It is preferable that the prescription and the administration record is on the same sheet. This would help minimise medication errors. A drug ‘Kardex’ could be used for this purpose. The treatment orders are written daily or authorised daily in a ‘Kardex’ like format. Phrases like “CST”/“ continue same treatment”/“repeat all”/“repeat 1,4,5,8” shall not be accepted. Whenever there is a modification in the medication order in the existing order fora particular drug, a fresh order will have to be written for that drug for example, Tab. Paracetamol 500 mg QID changed to Tab. Paracetamol 500 mg BD - this shall warrant the first order to be discontinued and a fresh medication order to be written. A strike-through or over-writing of the previous order is not acceptable. == Commitment —_ Achievement - Excellence a.</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spacing w:after="140"/>
      </w:pPr>
      <w:r>
        <w:rPr>
          <w:sz w:val="22"/>
          <w:szCs w:val="22"/>
        </w:rPr>
        <w:t xml:space="preserve">Method note (from guidebook interpretation): All hand-written medication orders shall be written in capital letters. In case abbreviations are used, a list of approved standardised abbreviations for medication orders shall be used throughout the organisation, Error-prone abbreviations shall not be used. A good reference is the Institute for Safe Medication Practices guidelines. The identity of the person who has written the medication order shall be traceable, This could be done by either writing the name against every order or by having a ‘master signature list’ in the medical record which has the name of the person against the signature or by stating the employee code number against every medication order.</w:t>
      </w:r>
    </w:p>
    <w:p>
      <w:pPr>
        <w:pStyle w:val="Heading2"/>
        <w:spacing w:after="100" w:before="220"/>
      </w:pPr>
      <w:r>
        <w:t xml:space="preserve">5.4 Medication orders contain the name of the medicine, route of administ...</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spacing w:after="140"/>
      </w:pPr>
      <w:r>
        <w:rPr>
          <w:sz w:val="22"/>
          <w:szCs w:val="22"/>
        </w:rPr>
        <w:t xml:space="preserve">Method note (from guidebook interpretation): In case of medication orders which have two or more drugs (tablet/capsule/injection) the strength of all the individual drugs shall be written. This may not be applicable for preparations having a combination of vitamins and/or minerals. Medication orders shall be recorded separately if the strength differs for each time of administration. There shall be a mechanism for taking action when medications orders are incomplete with respect to any of the above parameters. Refer to MOM.7.d.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MOM.5.a–d.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MOM.5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Records showing MOM.5.a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Records showing MOM.5.b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MOM.5.b reviewed «quarterly».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Records showing MOM.5.c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MOM.5.c reviewed «quarterly».</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Records showing MOM.5.d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2026-08-21T04:54:55.940Z</dcterms:created>
  <dcterms:modified xsi:type="dcterms:W3CDTF">2026-08-21T04:54:55.940Z</dcterms:modified>
</cp:coreProperties>
</file>

<file path=docProps/custom.xml><?xml version="1.0" encoding="utf-8"?>
<Properties xmlns="http://schemas.openxmlformats.org/officeDocument/2006/custom-properties" xmlns:vt="http://schemas.openxmlformats.org/officeDocument/2006/docPropsVTypes"/>
</file>