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Safe Internal Patient Transfer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AAC.10.e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transfers patients safely between units, wards, or to imaging within the organisation.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internal transfer — between wards, to ICU, to imaging, or between any two units within the hospital.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Transferring and Receiving Staff: </w:t>
      </w:r>
      <w:r>
        <w:t xml:space="preserve">complete documented hand-over and takeover for every internal transfer.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Document the reason for transfer, the patient's clinical status, and the time of transfer.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Complete a documented hand-over to the receiving team, and obtain documented takeover acknowledgement.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an unstable patient being transferred — including to imaging — assign accompanying staff and monitoring equipment appropriate to the patient's condition, so imaging is never delayed for lack of transport arrangement.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Transport every patient in a safe and timely manner, minimising wait and transfer time.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8–9 of the AAC.10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Continuous and Multi-Disciplinary Patient Care (HCO/AAC/POL/10) — AAC.10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Patient Transfer (In, Out) and Referral (AAC.3, for external transfers)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2026-09-14T10:01:06.820Z</dcterms:created>
  <dcterms:modified xsi:type="dcterms:W3CDTF">2026-09-14T10:01:06.820Z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