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AAC.11.a — Written guidance (Commitment*)</w:t>
      </w:r>
    </w:p>
    <w:p>
      <w:pPr>
        <w:spacing w:after="120"/>
      </w:pPr>
      <w:r>
        <w:rPr>
          <w:b/>
          <w:bCs/>
          <w:sz w:val="28"/>
          <w:szCs w:val="28"/>
        </w:rPr>
        <w:t>AAC.11 Record 1 — Preventive &amp; Promotive Care Guidance Reference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>Tracks which written-guidance document covers each preventive/promotive care element, its version, and issue date — this is not a log of patient screenings.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Guidance Element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Issue Date</w:t>
            </w:r>
          </w:p>
        </w:tc>
      </w:tr>
      <w:tr>
        <w:tc>
          <w:tcPr>
            <w:tcW w:type="dxa" w:w="4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NCD screening protocol</w:t>
            </w:r>
          </w:p>
        </w:tc>
        <w:tc>
          <w:tcPr>
            <w:tcW w:type="dxa" w:w="23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v1.2</w:t>
            </w:r>
          </w:p>
        </w:tc>
        <w:tc>
          <w:tcPr>
            <w:tcW w:type="dxa" w:w="23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2026-09-14T10:31:50.777Z</dcterms:created>
  <dcterms:modified xsi:type="dcterms:W3CDTF">2026-09-14T10:31:50.777Z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